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17" w:rsidRDefault="00DD7CFF">
      <w:pPr>
        <w:pStyle w:val="Sinespaciado"/>
        <w:rPr>
          <w:rFonts w:ascii="Cambria" w:hAnsi="Cambria"/>
          <w:sz w:val="72"/>
          <w:szCs w:val="72"/>
        </w:rPr>
      </w:pPr>
      <w:r w:rsidRPr="00DD7CFF">
        <w:rPr>
          <w:rFonts w:ascii="Calibri" w:hAnsi="Calibri"/>
          <w:noProof/>
          <w:sz w:val="22"/>
          <w:szCs w:val="22"/>
          <w:lang w:eastAsia="en-US"/>
        </w:rPr>
        <w:pict>
          <v:rect id="_x0000_s1145" style="position:absolute;margin-left:0;margin-top:0;width:624.25pt;height:75.75pt;z-index:2;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sidRPr="00DD7CFF">
        <w:rPr>
          <w:rFonts w:ascii="Calibri" w:hAnsi="Calibri"/>
          <w:noProof/>
          <w:sz w:val="22"/>
          <w:szCs w:val="22"/>
          <w:lang w:eastAsia="en-US"/>
        </w:rPr>
        <w:pict>
          <v:rect id="_x0000_s1148" style="position:absolute;margin-left:46pt;margin-top:-20.65pt;width:7.15pt;height:883.2pt;z-index:5;mso-height-percent:1050;mso-position-horizontal-relative:page;mso-position-vertical-relative:page;mso-height-percent:1050" o:allowincell="f" strokecolor="#31849b">
            <w10:wrap anchorx="margin" anchory="page"/>
          </v:rect>
        </w:pict>
      </w:r>
      <w:r w:rsidRPr="00DD7CFF">
        <w:rPr>
          <w:rFonts w:ascii="Calibri" w:hAnsi="Calibri"/>
          <w:noProof/>
          <w:sz w:val="22"/>
          <w:szCs w:val="22"/>
          <w:lang w:eastAsia="en-US"/>
        </w:rPr>
        <w:pict>
          <v:rect id="_x0000_s1147" style="position:absolute;margin-left:556.3pt;margin-top:-20.65pt;width:7.15pt;height:883.2pt;z-index:4;mso-height-percent:1050;mso-position-horizontal-relative:page;mso-position-vertical-relative:page;mso-height-percent:1050" o:allowincell="f" strokecolor="#31849b">
            <w10:wrap anchorx="page" anchory="page"/>
          </v:rect>
        </w:pict>
      </w:r>
      <w:r w:rsidRPr="00DD7CFF">
        <w:rPr>
          <w:rFonts w:ascii="Calibri" w:hAnsi="Calibri"/>
          <w:noProof/>
          <w:sz w:val="22"/>
          <w:szCs w:val="22"/>
          <w:lang w:eastAsia="en-US"/>
        </w:rPr>
        <w:pict>
          <v:rect id="_x0000_s1146" style="position:absolute;margin-left:-14.45pt;margin-top:.4pt;width:624.25pt;height:75.75pt;z-index:3;mso-width-percent:1050;mso-height-percent:900;mso-position-horizontal-relative:page;mso-position-vertical-relative:page;mso-width-percent:1050;mso-height-percent:900;mso-height-relative:top-margin-area" o:allowincell="f" fillcolor="#4bacc6" strokecolor="#31849b">
            <w10:wrap anchorx="page" anchory="margin"/>
          </v:rect>
        </w:pict>
      </w:r>
    </w:p>
    <w:p w:rsidR="001B1317" w:rsidRPr="00C472D2" w:rsidRDefault="001B1317">
      <w:pPr>
        <w:pStyle w:val="Sinespaciado"/>
        <w:rPr>
          <w:rFonts w:asciiTheme="majorHAnsi" w:hAnsiTheme="majorHAnsi"/>
          <w:sz w:val="56"/>
          <w:szCs w:val="72"/>
          <w:lang w:val="en-US"/>
        </w:rPr>
      </w:pPr>
      <w:r w:rsidRPr="00C472D2">
        <w:rPr>
          <w:rFonts w:asciiTheme="majorHAnsi" w:hAnsiTheme="majorHAnsi"/>
          <w:sz w:val="56"/>
          <w:szCs w:val="72"/>
          <w:lang w:val="en-US"/>
        </w:rPr>
        <w:t xml:space="preserve">Program Budgeting and Benefit Incidence Analysis: Water and Sanitation </w:t>
      </w:r>
    </w:p>
    <w:p w:rsidR="008C4D52" w:rsidRPr="00C472D2" w:rsidRDefault="008C4D52">
      <w:pPr>
        <w:pStyle w:val="Sinespaciado"/>
        <w:rPr>
          <w:rFonts w:asciiTheme="majorHAnsi" w:hAnsiTheme="majorHAnsi"/>
          <w:sz w:val="72"/>
          <w:szCs w:val="72"/>
          <w:lang w:val="en-US"/>
        </w:rPr>
      </w:pPr>
    </w:p>
    <w:p w:rsidR="001B1317" w:rsidRPr="00C472D2" w:rsidRDefault="001B1317">
      <w:pPr>
        <w:pStyle w:val="Sinespaciado"/>
        <w:rPr>
          <w:rFonts w:asciiTheme="majorHAnsi" w:hAnsiTheme="majorHAnsi"/>
          <w:sz w:val="36"/>
          <w:szCs w:val="36"/>
          <w:lang w:val="en-US"/>
        </w:rPr>
      </w:pPr>
      <w:r w:rsidRPr="00C472D2">
        <w:rPr>
          <w:rFonts w:asciiTheme="majorHAnsi" w:hAnsiTheme="majorHAnsi"/>
          <w:sz w:val="36"/>
          <w:szCs w:val="36"/>
          <w:lang w:val="en-US"/>
        </w:rPr>
        <w:t>Eduardo Morón</w:t>
      </w:r>
    </w:p>
    <w:p w:rsidR="008C4D52" w:rsidRPr="00C472D2" w:rsidRDefault="008C4D52">
      <w:pPr>
        <w:pStyle w:val="Sinespaciado"/>
        <w:rPr>
          <w:rFonts w:asciiTheme="majorHAnsi" w:hAnsiTheme="majorHAnsi"/>
          <w:szCs w:val="28"/>
          <w:lang w:val="en-US"/>
        </w:rPr>
      </w:pPr>
      <w:r w:rsidRPr="00C472D2">
        <w:rPr>
          <w:rFonts w:asciiTheme="majorHAnsi" w:hAnsiTheme="majorHAnsi"/>
          <w:szCs w:val="28"/>
          <w:lang w:val="en-US"/>
        </w:rPr>
        <w:t>With the collaboration of:</w:t>
      </w:r>
    </w:p>
    <w:p w:rsidR="001B1317" w:rsidRPr="00C472D2" w:rsidRDefault="008C4D52">
      <w:pPr>
        <w:pStyle w:val="Sinespaciado"/>
        <w:rPr>
          <w:rFonts w:asciiTheme="majorHAnsi" w:hAnsiTheme="majorHAnsi"/>
          <w:szCs w:val="28"/>
        </w:rPr>
      </w:pPr>
      <w:r w:rsidRPr="00C472D2">
        <w:rPr>
          <w:rFonts w:asciiTheme="majorHAnsi" w:hAnsiTheme="majorHAnsi"/>
          <w:szCs w:val="28"/>
        </w:rPr>
        <w:t>Graciela Muñiz and Martín Rostagno</w:t>
      </w:r>
    </w:p>
    <w:p w:rsidR="001B1317" w:rsidRPr="00C472D2" w:rsidRDefault="001B1317">
      <w:pPr>
        <w:pStyle w:val="Sinespaciado"/>
        <w:rPr>
          <w:rFonts w:asciiTheme="majorHAnsi" w:hAnsiTheme="majorHAnsi"/>
          <w:sz w:val="36"/>
          <w:szCs w:val="36"/>
        </w:rPr>
      </w:pPr>
    </w:p>
    <w:p w:rsidR="001B1317" w:rsidRPr="00C472D2" w:rsidRDefault="008C4D52">
      <w:pPr>
        <w:pStyle w:val="Sinespaciado"/>
        <w:rPr>
          <w:rFonts w:asciiTheme="majorHAnsi" w:hAnsiTheme="majorHAnsi"/>
          <w:sz w:val="28"/>
          <w:szCs w:val="28"/>
        </w:rPr>
      </w:pPr>
      <w:r w:rsidRPr="00C472D2">
        <w:rPr>
          <w:rFonts w:asciiTheme="majorHAnsi" w:hAnsiTheme="majorHAnsi"/>
          <w:sz w:val="28"/>
          <w:szCs w:val="28"/>
        </w:rPr>
        <w:t>March</w:t>
      </w:r>
      <w:r w:rsidR="001B1317" w:rsidRPr="00C472D2">
        <w:rPr>
          <w:rFonts w:asciiTheme="majorHAnsi" w:hAnsiTheme="majorHAnsi"/>
          <w:sz w:val="28"/>
          <w:szCs w:val="28"/>
        </w:rPr>
        <w:t>, 2010</w:t>
      </w:r>
    </w:p>
    <w:p w:rsidR="001B1317" w:rsidRPr="00C472D2" w:rsidRDefault="001B1317">
      <w:pPr>
        <w:pStyle w:val="Sinespaciado"/>
        <w:rPr>
          <w:rFonts w:asciiTheme="majorHAnsi" w:hAnsiTheme="majorHAnsi"/>
          <w:sz w:val="28"/>
          <w:szCs w:val="28"/>
        </w:rPr>
      </w:pPr>
      <w:r w:rsidRPr="00C472D2">
        <w:rPr>
          <w:rFonts w:asciiTheme="majorHAnsi" w:hAnsiTheme="majorHAnsi"/>
          <w:sz w:val="28"/>
          <w:szCs w:val="28"/>
          <w:lang w:val="es-PE"/>
        </w:rPr>
        <w:t>Centro de Investigación de la Universidad del Pacífico</w:t>
      </w:r>
    </w:p>
    <w:p w:rsidR="001B1317" w:rsidRPr="00C472D2" w:rsidRDefault="001B1317">
      <w:pPr>
        <w:rPr>
          <w:rFonts w:asciiTheme="majorHAnsi" w:hAnsiTheme="majorHAnsi"/>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1B1317" w:rsidP="009A0AE0">
      <w:pPr>
        <w:spacing w:line="360" w:lineRule="auto"/>
        <w:jc w:val="center"/>
        <w:rPr>
          <w:rFonts w:asciiTheme="majorHAnsi" w:hAnsiTheme="majorHAnsi" w:cs="Arial"/>
          <w:iCs/>
          <w:sz w:val="28"/>
          <w:szCs w:val="28"/>
        </w:rPr>
      </w:pPr>
    </w:p>
    <w:p w:rsidR="001B1317" w:rsidRPr="00C472D2" w:rsidRDefault="00C472D2" w:rsidP="00C472D2">
      <w:pPr>
        <w:spacing w:line="360" w:lineRule="auto"/>
        <w:rPr>
          <w:rFonts w:asciiTheme="majorHAnsi" w:hAnsiTheme="majorHAnsi" w:cs="Arial"/>
          <w:iCs/>
          <w:szCs w:val="28"/>
        </w:rPr>
      </w:pPr>
      <w:r w:rsidRPr="00C472D2">
        <w:rPr>
          <w:rFonts w:asciiTheme="majorHAnsi" w:hAnsiTheme="majorHAnsi" w:cs="Arial"/>
          <w:iCs/>
          <w:szCs w:val="28"/>
        </w:rPr>
        <w:t>Research report written for the</w:t>
      </w:r>
    </w:p>
    <w:p w:rsidR="00B95A4D" w:rsidRPr="00653AF6" w:rsidRDefault="001B1317" w:rsidP="00E3437C">
      <w:pPr>
        <w:spacing w:line="360" w:lineRule="auto"/>
        <w:rPr>
          <w:rFonts w:ascii="Cambria" w:hAnsi="Cambria" w:cs="Arial"/>
          <w:iCs/>
          <w:sz w:val="22"/>
          <w:szCs w:val="22"/>
          <w:lang w:val="en-GB"/>
        </w:rPr>
      </w:pPr>
      <w:r w:rsidRPr="00C472D2">
        <w:rPr>
          <w:rFonts w:asciiTheme="majorHAnsi" w:hAnsiTheme="majorHAnsi" w:cs="Arial"/>
          <w:iCs/>
          <w:sz w:val="28"/>
          <w:szCs w:val="28"/>
          <w:lang w:val="en-GB"/>
        </w:rPr>
        <w:t>Global Development Network</w:t>
      </w:r>
      <w:r>
        <w:rPr>
          <w:rFonts w:ascii="Arial" w:hAnsi="Arial" w:cs="Arial"/>
          <w:iCs/>
          <w:sz w:val="28"/>
          <w:szCs w:val="28"/>
          <w:lang w:val="en-GB"/>
        </w:rPr>
        <w:br w:type="page"/>
      </w:r>
    </w:p>
    <w:p w:rsidR="00DD4C28" w:rsidRPr="00A90BC4" w:rsidRDefault="00E47EAB" w:rsidP="0028226D">
      <w:pPr>
        <w:pStyle w:val="Graciela1"/>
        <w:spacing w:before="0"/>
        <w:rPr>
          <w:rStyle w:val="nfasissutil"/>
          <w:i w:val="0"/>
          <w:color w:val="C6D9F1"/>
        </w:rPr>
      </w:pPr>
      <w:bookmarkStart w:id="0" w:name="_Toc254912246"/>
      <w:r w:rsidRPr="00A90BC4">
        <w:rPr>
          <w:rStyle w:val="nfasissutil"/>
          <w:i w:val="0"/>
          <w:color w:val="C6D9F1"/>
        </w:rPr>
        <w:lastRenderedPageBreak/>
        <w:t>Conten</w:t>
      </w:r>
      <w:r w:rsidR="00345B10" w:rsidRPr="00A90BC4">
        <w:rPr>
          <w:rStyle w:val="nfasissutil"/>
          <w:i w:val="0"/>
          <w:color w:val="C6D9F1"/>
        </w:rPr>
        <w:t>t</w:t>
      </w:r>
      <w:r w:rsidRPr="00A90BC4">
        <w:rPr>
          <w:rStyle w:val="nfasissutil"/>
          <w:i w:val="0"/>
          <w:color w:val="C6D9F1"/>
        </w:rPr>
        <w:t>s</w:t>
      </w:r>
      <w:bookmarkEnd w:id="0"/>
    </w:p>
    <w:p w:rsidR="00DD4C28" w:rsidRDefault="00DD4C28" w:rsidP="00965157">
      <w:pPr>
        <w:rPr>
          <w:bCs/>
          <w:sz w:val="40"/>
          <w:szCs w:val="40"/>
          <w:lang w:val="en-GB"/>
        </w:rPr>
      </w:pPr>
    </w:p>
    <w:p w:rsidR="00AD27D7" w:rsidRDefault="00DD7CFF">
      <w:pPr>
        <w:pStyle w:val="TDC1"/>
        <w:rPr>
          <w:rFonts w:cs="Times New Roman"/>
          <w:bCs w:val="0"/>
          <w:iCs w:val="0"/>
          <w:sz w:val="22"/>
          <w:szCs w:val="22"/>
          <w:lang w:val="es-ES"/>
        </w:rPr>
      </w:pPr>
      <w:r w:rsidRPr="00DD7CFF">
        <w:rPr>
          <w:i/>
        </w:rPr>
        <w:fldChar w:fldCharType="begin"/>
      </w:r>
      <w:r w:rsidR="00914497" w:rsidRPr="00AA613F">
        <w:rPr>
          <w:i/>
        </w:rPr>
        <w:instrText xml:space="preserve"> TOC \o "1-3" \h \z \u </w:instrText>
      </w:r>
      <w:r w:rsidRPr="00DD7CFF">
        <w:rPr>
          <w:i/>
        </w:rPr>
        <w:fldChar w:fldCharType="separate"/>
      </w:r>
      <w:hyperlink w:anchor="_Toc254912246" w:history="1">
        <w:r w:rsidR="00AD27D7" w:rsidRPr="00016D73">
          <w:rPr>
            <w:rStyle w:val="Hipervnculo"/>
          </w:rPr>
          <w:t>Contents</w:t>
        </w:r>
        <w:r w:rsidR="00AD27D7">
          <w:rPr>
            <w:webHidden/>
          </w:rPr>
          <w:tab/>
        </w:r>
        <w:r>
          <w:rPr>
            <w:webHidden/>
          </w:rPr>
          <w:fldChar w:fldCharType="begin"/>
        </w:r>
        <w:r w:rsidR="00AD27D7">
          <w:rPr>
            <w:webHidden/>
          </w:rPr>
          <w:instrText xml:space="preserve"> PAGEREF _Toc254912246 \h </w:instrText>
        </w:r>
        <w:r>
          <w:rPr>
            <w:webHidden/>
          </w:rPr>
        </w:r>
        <w:r>
          <w:rPr>
            <w:webHidden/>
          </w:rPr>
          <w:fldChar w:fldCharType="separate"/>
        </w:r>
        <w:r w:rsidR="005E5A28">
          <w:rPr>
            <w:webHidden/>
          </w:rPr>
          <w:t>2</w:t>
        </w:r>
        <w:r>
          <w:rPr>
            <w:webHidden/>
          </w:rPr>
          <w:fldChar w:fldCharType="end"/>
        </w:r>
      </w:hyperlink>
    </w:p>
    <w:p w:rsidR="00AD27D7" w:rsidRDefault="00DD7CFF">
      <w:pPr>
        <w:pStyle w:val="TDC1"/>
        <w:rPr>
          <w:rFonts w:cs="Times New Roman"/>
          <w:bCs w:val="0"/>
          <w:iCs w:val="0"/>
          <w:sz w:val="22"/>
          <w:szCs w:val="22"/>
          <w:lang w:val="es-ES"/>
        </w:rPr>
      </w:pPr>
      <w:hyperlink w:anchor="_Toc254912247" w:history="1">
        <w:r w:rsidR="00AD27D7" w:rsidRPr="00016D73">
          <w:rPr>
            <w:rStyle w:val="Hipervnculo"/>
          </w:rPr>
          <w:t>Introduction</w:t>
        </w:r>
        <w:r w:rsidR="00AD27D7">
          <w:rPr>
            <w:webHidden/>
          </w:rPr>
          <w:tab/>
        </w:r>
        <w:r>
          <w:rPr>
            <w:webHidden/>
          </w:rPr>
          <w:fldChar w:fldCharType="begin"/>
        </w:r>
        <w:r w:rsidR="00AD27D7">
          <w:rPr>
            <w:webHidden/>
          </w:rPr>
          <w:instrText xml:space="preserve"> PAGEREF _Toc254912247 \h </w:instrText>
        </w:r>
        <w:r>
          <w:rPr>
            <w:webHidden/>
          </w:rPr>
        </w:r>
        <w:r>
          <w:rPr>
            <w:webHidden/>
          </w:rPr>
          <w:fldChar w:fldCharType="separate"/>
        </w:r>
        <w:r w:rsidR="005E5A28">
          <w:rPr>
            <w:webHidden/>
          </w:rPr>
          <w:t>3</w:t>
        </w:r>
        <w:r>
          <w:rPr>
            <w:webHidden/>
          </w:rPr>
          <w:fldChar w:fldCharType="end"/>
        </w:r>
      </w:hyperlink>
    </w:p>
    <w:p w:rsidR="00AD27D7" w:rsidRDefault="00DD7CFF">
      <w:pPr>
        <w:pStyle w:val="TDC1"/>
        <w:rPr>
          <w:rFonts w:cs="Times New Roman"/>
          <w:bCs w:val="0"/>
          <w:iCs w:val="0"/>
          <w:sz w:val="22"/>
          <w:szCs w:val="22"/>
          <w:lang w:val="es-ES"/>
        </w:rPr>
      </w:pPr>
      <w:hyperlink w:anchor="_Toc254912248" w:history="1">
        <w:r w:rsidR="00AD27D7" w:rsidRPr="00016D73">
          <w:rPr>
            <w:rStyle w:val="Hipervnculo"/>
            <w:i/>
          </w:rPr>
          <w:t>I. General Description of the Water and Sanitation Sector</w:t>
        </w:r>
        <w:r w:rsidR="00AD27D7">
          <w:rPr>
            <w:webHidden/>
          </w:rPr>
          <w:tab/>
        </w:r>
        <w:r>
          <w:rPr>
            <w:webHidden/>
          </w:rPr>
          <w:fldChar w:fldCharType="begin"/>
        </w:r>
        <w:r w:rsidR="00AD27D7">
          <w:rPr>
            <w:webHidden/>
          </w:rPr>
          <w:instrText xml:space="preserve"> PAGEREF _Toc254912248 \h </w:instrText>
        </w:r>
        <w:r>
          <w:rPr>
            <w:webHidden/>
          </w:rPr>
        </w:r>
        <w:r>
          <w:rPr>
            <w:webHidden/>
          </w:rPr>
          <w:fldChar w:fldCharType="separate"/>
        </w:r>
        <w:r w:rsidR="005E5A28">
          <w:rPr>
            <w:webHidden/>
          </w:rPr>
          <w:t>4</w:t>
        </w:r>
        <w:r>
          <w:rPr>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49" w:history="1">
        <w:r w:rsidR="00AD27D7" w:rsidRPr="00016D73">
          <w:rPr>
            <w:rStyle w:val="Hipervnculo"/>
            <w:i/>
            <w:iCs/>
            <w:noProof/>
          </w:rPr>
          <w:t>A.</w:t>
        </w:r>
        <w:r w:rsidR="00AD27D7">
          <w:rPr>
            <w:rFonts w:ascii="Calibri" w:hAnsi="Calibri"/>
            <w:b w:val="0"/>
            <w:bCs w:val="0"/>
            <w:noProof/>
          </w:rPr>
          <w:tab/>
        </w:r>
        <w:r w:rsidR="00AD27D7" w:rsidRPr="00016D73">
          <w:rPr>
            <w:rStyle w:val="Hipervnculo"/>
            <w:i/>
            <w:iCs/>
            <w:noProof/>
          </w:rPr>
          <w:t>Sector Organization</w:t>
        </w:r>
        <w:r w:rsidR="00AD27D7">
          <w:rPr>
            <w:noProof/>
            <w:webHidden/>
          </w:rPr>
          <w:tab/>
        </w:r>
        <w:r>
          <w:rPr>
            <w:noProof/>
            <w:webHidden/>
          </w:rPr>
          <w:fldChar w:fldCharType="begin"/>
        </w:r>
        <w:r w:rsidR="00AD27D7">
          <w:rPr>
            <w:noProof/>
            <w:webHidden/>
          </w:rPr>
          <w:instrText xml:space="preserve"> PAGEREF _Toc254912249 \h </w:instrText>
        </w:r>
        <w:r>
          <w:rPr>
            <w:noProof/>
            <w:webHidden/>
          </w:rPr>
        </w:r>
        <w:r>
          <w:rPr>
            <w:noProof/>
            <w:webHidden/>
          </w:rPr>
          <w:fldChar w:fldCharType="separate"/>
        </w:r>
        <w:r w:rsidR="005E5A28">
          <w:rPr>
            <w:noProof/>
            <w:webHidden/>
          </w:rPr>
          <w:t>4</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0" w:history="1">
        <w:r w:rsidR="00AD27D7" w:rsidRPr="00016D73">
          <w:rPr>
            <w:rStyle w:val="Hipervnculo"/>
            <w:i/>
            <w:iCs/>
            <w:noProof/>
          </w:rPr>
          <w:t>B.</w:t>
        </w:r>
        <w:r w:rsidR="00AD27D7">
          <w:rPr>
            <w:rFonts w:ascii="Calibri" w:hAnsi="Calibri"/>
            <w:b w:val="0"/>
            <w:bCs w:val="0"/>
            <w:noProof/>
          </w:rPr>
          <w:tab/>
        </w:r>
        <w:r w:rsidR="00AD27D7" w:rsidRPr="00016D73">
          <w:rPr>
            <w:rStyle w:val="Hipervnculo"/>
            <w:i/>
            <w:iCs/>
            <w:noProof/>
          </w:rPr>
          <w:t>Main Indicators</w:t>
        </w:r>
        <w:r w:rsidR="00AD27D7">
          <w:rPr>
            <w:noProof/>
            <w:webHidden/>
          </w:rPr>
          <w:tab/>
        </w:r>
        <w:r>
          <w:rPr>
            <w:noProof/>
            <w:webHidden/>
          </w:rPr>
          <w:fldChar w:fldCharType="begin"/>
        </w:r>
        <w:r w:rsidR="00AD27D7">
          <w:rPr>
            <w:noProof/>
            <w:webHidden/>
          </w:rPr>
          <w:instrText xml:space="preserve"> PAGEREF _Toc254912250 \h </w:instrText>
        </w:r>
        <w:r>
          <w:rPr>
            <w:noProof/>
            <w:webHidden/>
          </w:rPr>
        </w:r>
        <w:r>
          <w:rPr>
            <w:noProof/>
            <w:webHidden/>
          </w:rPr>
          <w:fldChar w:fldCharType="separate"/>
        </w:r>
        <w:r w:rsidR="005E5A28">
          <w:rPr>
            <w:noProof/>
            <w:webHidden/>
          </w:rPr>
          <w:t>5</w:t>
        </w:r>
        <w:r>
          <w:rPr>
            <w:noProof/>
            <w:webHidden/>
          </w:rPr>
          <w:fldChar w:fldCharType="end"/>
        </w:r>
      </w:hyperlink>
    </w:p>
    <w:p w:rsidR="00AD27D7" w:rsidRDefault="00DD7CFF">
      <w:pPr>
        <w:pStyle w:val="TDC1"/>
        <w:rPr>
          <w:rFonts w:cs="Times New Roman"/>
          <w:bCs w:val="0"/>
          <w:iCs w:val="0"/>
          <w:sz w:val="22"/>
          <w:szCs w:val="22"/>
          <w:lang w:val="es-ES"/>
        </w:rPr>
      </w:pPr>
      <w:hyperlink w:anchor="_Toc254912251" w:history="1">
        <w:r w:rsidR="00AD27D7" w:rsidRPr="00016D73">
          <w:rPr>
            <w:rStyle w:val="Hipervnculo"/>
            <w:lang w:eastAsia="en-US"/>
          </w:rPr>
          <w:t>II. Program Budgeting Analysis</w:t>
        </w:r>
        <w:r w:rsidR="00AD27D7">
          <w:rPr>
            <w:webHidden/>
          </w:rPr>
          <w:tab/>
        </w:r>
        <w:r>
          <w:rPr>
            <w:webHidden/>
          </w:rPr>
          <w:fldChar w:fldCharType="begin"/>
        </w:r>
        <w:r w:rsidR="00AD27D7">
          <w:rPr>
            <w:webHidden/>
          </w:rPr>
          <w:instrText xml:space="preserve"> PAGEREF _Toc254912251 \h </w:instrText>
        </w:r>
        <w:r>
          <w:rPr>
            <w:webHidden/>
          </w:rPr>
        </w:r>
        <w:r>
          <w:rPr>
            <w:webHidden/>
          </w:rPr>
          <w:fldChar w:fldCharType="separate"/>
        </w:r>
        <w:r w:rsidR="005E5A28">
          <w:rPr>
            <w:webHidden/>
          </w:rPr>
          <w:t>9</w:t>
        </w:r>
        <w:r>
          <w:rPr>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2" w:history="1">
        <w:r w:rsidR="00AD27D7" w:rsidRPr="00016D73">
          <w:rPr>
            <w:rStyle w:val="Hipervnculo"/>
            <w:i/>
            <w:iCs/>
            <w:noProof/>
            <w:lang w:val="en-US"/>
          </w:rPr>
          <w:t>A.</w:t>
        </w:r>
        <w:r w:rsidR="00AD27D7">
          <w:rPr>
            <w:rFonts w:ascii="Calibri" w:hAnsi="Calibri"/>
            <w:b w:val="0"/>
            <w:bCs w:val="0"/>
            <w:noProof/>
          </w:rPr>
          <w:tab/>
        </w:r>
        <w:r w:rsidR="00AD27D7" w:rsidRPr="00016D73">
          <w:rPr>
            <w:rStyle w:val="Hipervnculo"/>
            <w:i/>
            <w:iCs/>
            <w:noProof/>
            <w:lang w:val="en-US"/>
          </w:rPr>
          <w:t>List and Description of Funding Sources</w:t>
        </w:r>
        <w:r w:rsidR="00AD27D7">
          <w:rPr>
            <w:noProof/>
            <w:webHidden/>
          </w:rPr>
          <w:tab/>
        </w:r>
        <w:r>
          <w:rPr>
            <w:noProof/>
            <w:webHidden/>
          </w:rPr>
          <w:fldChar w:fldCharType="begin"/>
        </w:r>
        <w:r w:rsidR="00AD27D7">
          <w:rPr>
            <w:noProof/>
            <w:webHidden/>
          </w:rPr>
          <w:instrText xml:space="preserve"> PAGEREF _Toc254912252 \h </w:instrText>
        </w:r>
        <w:r>
          <w:rPr>
            <w:noProof/>
            <w:webHidden/>
          </w:rPr>
        </w:r>
        <w:r>
          <w:rPr>
            <w:noProof/>
            <w:webHidden/>
          </w:rPr>
          <w:fldChar w:fldCharType="separate"/>
        </w:r>
        <w:r w:rsidR="005E5A28">
          <w:rPr>
            <w:noProof/>
            <w:webHidden/>
          </w:rPr>
          <w:t>9</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3" w:history="1">
        <w:r w:rsidR="00AD27D7" w:rsidRPr="00016D73">
          <w:rPr>
            <w:rStyle w:val="Hipervnculo"/>
            <w:i/>
            <w:iCs/>
            <w:noProof/>
            <w:lang w:val="en-US"/>
          </w:rPr>
          <w:t>B.</w:t>
        </w:r>
        <w:r w:rsidR="00AD27D7">
          <w:rPr>
            <w:rFonts w:ascii="Calibri" w:hAnsi="Calibri"/>
            <w:b w:val="0"/>
            <w:bCs w:val="0"/>
            <w:noProof/>
          </w:rPr>
          <w:tab/>
        </w:r>
        <w:r w:rsidR="00AD27D7" w:rsidRPr="00016D73">
          <w:rPr>
            <w:rStyle w:val="Hipervnculo"/>
            <w:i/>
            <w:iCs/>
            <w:noProof/>
            <w:lang w:val="en-US"/>
          </w:rPr>
          <w:t>Methodology and Assumptions made</w:t>
        </w:r>
        <w:r w:rsidR="00AD27D7">
          <w:rPr>
            <w:noProof/>
            <w:webHidden/>
          </w:rPr>
          <w:tab/>
        </w:r>
        <w:r>
          <w:rPr>
            <w:noProof/>
            <w:webHidden/>
          </w:rPr>
          <w:fldChar w:fldCharType="begin"/>
        </w:r>
        <w:r w:rsidR="00AD27D7">
          <w:rPr>
            <w:noProof/>
            <w:webHidden/>
          </w:rPr>
          <w:instrText xml:space="preserve"> PAGEREF _Toc254912253 \h </w:instrText>
        </w:r>
        <w:r>
          <w:rPr>
            <w:noProof/>
            <w:webHidden/>
          </w:rPr>
        </w:r>
        <w:r>
          <w:rPr>
            <w:noProof/>
            <w:webHidden/>
          </w:rPr>
          <w:fldChar w:fldCharType="separate"/>
        </w:r>
        <w:r w:rsidR="005E5A28">
          <w:rPr>
            <w:noProof/>
            <w:webHidden/>
          </w:rPr>
          <w:t>10</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4" w:history="1">
        <w:r w:rsidR="00AD27D7" w:rsidRPr="00016D73">
          <w:rPr>
            <w:rStyle w:val="Hipervnculo"/>
            <w:i/>
            <w:iCs/>
            <w:noProof/>
            <w:lang w:val="en-US"/>
          </w:rPr>
          <w:t>C.</w:t>
        </w:r>
        <w:r w:rsidR="00AD27D7">
          <w:rPr>
            <w:rFonts w:ascii="Calibri" w:hAnsi="Calibri"/>
            <w:b w:val="0"/>
            <w:bCs w:val="0"/>
            <w:noProof/>
          </w:rPr>
          <w:tab/>
        </w:r>
        <w:r w:rsidR="00AD27D7" w:rsidRPr="00016D73">
          <w:rPr>
            <w:rStyle w:val="Hipervnculo"/>
            <w:i/>
            <w:iCs/>
            <w:noProof/>
            <w:lang w:val="en-US"/>
          </w:rPr>
          <w:t>Results and Discussion</w:t>
        </w:r>
        <w:r w:rsidR="00AD27D7">
          <w:rPr>
            <w:noProof/>
            <w:webHidden/>
          </w:rPr>
          <w:tab/>
        </w:r>
        <w:r>
          <w:rPr>
            <w:noProof/>
            <w:webHidden/>
          </w:rPr>
          <w:fldChar w:fldCharType="begin"/>
        </w:r>
        <w:r w:rsidR="00AD27D7">
          <w:rPr>
            <w:noProof/>
            <w:webHidden/>
          </w:rPr>
          <w:instrText xml:space="preserve"> PAGEREF _Toc254912254 \h </w:instrText>
        </w:r>
        <w:r>
          <w:rPr>
            <w:noProof/>
            <w:webHidden/>
          </w:rPr>
        </w:r>
        <w:r>
          <w:rPr>
            <w:noProof/>
            <w:webHidden/>
          </w:rPr>
          <w:fldChar w:fldCharType="separate"/>
        </w:r>
        <w:r w:rsidR="005E5A28">
          <w:rPr>
            <w:noProof/>
            <w:webHidden/>
          </w:rPr>
          <w:t>11</w:t>
        </w:r>
        <w:r>
          <w:rPr>
            <w:noProof/>
            <w:webHidden/>
          </w:rPr>
          <w:fldChar w:fldCharType="end"/>
        </w:r>
      </w:hyperlink>
    </w:p>
    <w:p w:rsidR="00AD27D7" w:rsidRDefault="00DD7CFF">
      <w:pPr>
        <w:pStyle w:val="TDC1"/>
        <w:rPr>
          <w:rFonts w:cs="Times New Roman"/>
          <w:bCs w:val="0"/>
          <w:iCs w:val="0"/>
          <w:sz w:val="22"/>
          <w:szCs w:val="22"/>
          <w:lang w:val="es-ES"/>
        </w:rPr>
      </w:pPr>
      <w:hyperlink w:anchor="_Toc254912255" w:history="1">
        <w:r w:rsidR="00AD27D7" w:rsidRPr="00016D73">
          <w:rPr>
            <w:rStyle w:val="Hipervnculo"/>
            <w:lang w:val="es-ES" w:eastAsia="en-US"/>
          </w:rPr>
          <w:t xml:space="preserve">III. </w:t>
        </w:r>
        <w:r w:rsidR="00AD27D7" w:rsidRPr="00016D73">
          <w:rPr>
            <w:rStyle w:val="Hipervnculo"/>
            <w:lang w:eastAsia="en-US"/>
          </w:rPr>
          <w:t>Benefit Incidence Analysis</w:t>
        </w:r>
        <w:r w:rsidR="00AD27D7">
          <w:rPr>
            <w:webHidden/>
          </w:rPr>
          <w:tab/>
        </w:r>
        <w:r>
          <w:rPr>
            <w:webHidden/>
          </w:rPr>
          <w:fldChar w:fldCharType="begin"/>
        </w:r>
        <w:r w:rsidR="00AD27D7">
          <w:rPr>
            <w:webHidden/>
          </w:rPr>
          <w:instrText xml:space="preserve"> PAGEREF _Toc254912255 \h </w:instrText>
        </w:r>
        <w:r>
          <w:rPr>
            <w:webHidden/>
          </w:rPr>
        </w:r>
        <w:r>
          <w:rPr>
            <w:webHidden/>
          </w:rPr>
          <w:fldChar w:fldCharType="separate"/>
        </w:r>
        <w:r w:rsidR="005E5A28">
          <w:rPr>
            <w:webHidden/>
          </w:rPr>
          <w:t>17</w:t>
        </w:r>
        <w:r>
          <w:rPr>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6" w:history="1">
        <w:r w:rsidR="00AD27D7" w:rsidRPr="00016D73">
          <w:rPr>
            <w:rStyle w:val="Hipervnculo"/>
            <w:i/>
            <w:iCs/>
            <w:noProof/>
            <w:lang w:val="en-US"/>
          </w:rPr>
          <w:t>A.</w:t>
        </w:r>
        <w:r w:rsidR="00AD27D7">
          <w:rPr>
            <w:rFonts w:ascii="Calibri" w:hAnsi="Calibri"/>
            <w:b w:val="0"/>
            <w:bCs w:val="0"/>
            <w:noProof/>
          </w:rPr>
          <w:tab/>
        </w:r>
        <w:r w:rsidR="00AD27D7" w:rsidRPr="00016D73">
          <w:rPr>
            <w:rStyle w:val="Hipervnculo"/>
            <w:i/>
            <w:iCs/>
            <w:noProof/>
            <w:lang w:val="en-US"/>
          </w:rPr>
          <w:t>List and Description of Data Sources Used</w:t>
        </w:r>
        <w:r w:rsidR="00AD27D7">
          <w:rPr>
            <w:noProof/>
            <w:webHidden/>
          </w:rPr>
          <w:tab/>
        </w:r>
        <w:r>
          <w:rPr>
            <w:noProof/>
            <w:webHidden/>
          </w:rPr>
          <w:fldChar w:fldCharType="begin"/>
        </w:r>
        <w:r w:rsidR="00AD27D7">
          <w:rPr>
            <w:noProof/>
            <w:webHidden/>
          </w:rPr>
          <w:instrText xml:space="preserve"> PAGEREF _Toc254912256 \h </w:instrText>
        </w:r>
        <w:r>
          <w:rPr>
            <w:noProof/>
            <w:webHidden/>
          </w:rPr>
        </w:r>
        <w:r>
          <w:rPr>
            <w:noProof/>
            <w:webHidden/>
          </w:rPr>
          <w:fldChar w:fldCharType="separate"/>
        </w:r>
        <w:r w:rsidR="005E5A28">
          <w:rPr>
            <w:noProof/>
            <w:webHidden/>
          </w:rPr>
          <w:t>17</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7" w:history="1">
        <w:r w:rsidR="00AD27D7" w:rsidRPr="00016D73">
          <w:rPr>
            <w:rStyle w:val="Hipervnculo"/>
            <w:i/>
            <w:iCs/>
            <w:noProof/>
            <w:lang w:val="en-US"/>
          </w:rPr>
          <w:t>B.</w:t>
        </w:r>
        <w:r w:rsidR="00AD27D7">
          <w:rPr>
            <w:rFonts w:ascii="Calibri" w:hAnsi="Calibri"/>
            <w:b w:val="0"/>
            <w:bCs w:val="0"/>
            <w:noProof/>
          </w:rPr>
          <w:tab/>
        </w:r>
        <w:r w:rsidR="00AD27D7" w:rsidRPr="00016D73">
          <w:rPr>
            <w:rStyle w:val="Hipervnculo"/>
            <w:i/>
            <w:iCs/>
            <w:noProof/>
            <w:lang w:val="en-US"/>
          </w:rPr>
          <w:t>Methodology</w:t>
        </w:r>
        <w:r w:rsidR="00AD27D7">
          <w:rPr>
            <w:noProof/>
            <w:webHidden/>
          </w:rPr>
          <w:tab/>
        </w:r>
        <w:r>
          <w:rPr>
            <w:noProof/>
            <w:webHidden/>
          </w:rPr>
          <w:fldChar w:fldCharType="begin"/>
        </w:r>
        <w:r w:rsidR="00AD27D7">
          <w:rPr>
            <w:noProof/>
            <w:webHidden/>
          </w:rPr>
          <w:instrText xml:space="preserve"> PAGEREF _Toc254912257 \h </w:instrText>
        </w:r>
        <w:r>
          <w:rPr>
            <w:noProof/>
            <w:webHidden/>
          </w:rPr>
        </w:r>
        <w:r>
          <w:rPr>
            <w:noProof/>
            <w:webHidden/>
          </w:rPr>
          <w:fldChar w:fldCharType="separate"/>
        </w:r>
        <w:r w:rsidR="005E5A28">
          <w:rPr>
            <w:noProof/>
            <w:webHidden/>
          </w:rPr>
          <w:t>17</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8" w:history="1">
        <w:r w:rsidR="00AD27D7" w:rsidRPr="00016D73">
          <w:rPr>
            <w:rStyle w:val="Hipervnculo"/>
            <w:i/>
            <w:iCs/>
            <w:noProof/>
            <w:lang w:val="en-US"/>
          </w:rPr>
          <w:t>C.</w:t>
        </w:r>
        <w:r w:rsidR="00AD27D7">
          <w:rPr>
            <w:rFonts w:ascii="Calibri" w:hAnsi="Calibri"/>
            <w:b w:val="0"/>
            <w:bCs w:val="0"/>
            <w:noProof/>
          </w:rPr>
          <w:tab/>
        </w:r>
        <w:r w:rsidR="00AD27D7" w:rsidRPr="00016D73">
          <w:rPr>
            <w:rStyle w:val="Hipervnculo"/>
            <w:i/>
            <w:iCs/>
            <w:noProof/>
            <w:lang w:val="en-US"/>
          </w:rPr>
          <w:t>Results and discussion</w:t>
        </w:r>
        <w:r w:rsidR="00AD27D7">
          <w:rPr>
            <w:noProof/>
            <w:webHidden/>
          </w:rPr>
          <w:tab/>
        </w:r>
        <w:r>
          <w:rPr>
            <w:noProof/>
            <w:webHidden/>
          </w:rPr>
          <w:fldChar w:fldCharType="begin"/>
        </w:r>
        <w:r w:rsidR="00AD27D7">
          <w:rPr>
            <w:noProof/>
            <w:webHidden/>
          </w:rPr>
          <w:instrText xml:space="preserve"> PAGEREF _Toc254912258 \h </w:instrText>
        </w:r>
        <w:r>
          <w:rPr>
            <w:noProof/>
            <w:webHidden/>
          </w:rPr>
        </w:r>
        <w:r>
          <w:rPr>
            <w:noProof/>
            <w:webHidden/>
          </w:rPr>
          <w:fldChar w:fldCharType="separate"/>
        </w:r>
        <w:r w:rsidR="005E5A28">
          <w:rPr>
            <w:noProof/>
            <w:webHidden/>
          </w:rPr>
          <w:t>19</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59" w:history="1">
        <w:r w:rsidR="00AD27D7" w:rsidRPr="00016D73">
          <w:rPr>
            <w:rStyle w:val="Hipervnculo"/>
            <w:i/>
            <w:iCs/>
            <w:noProof/>
            <w:lang w:val="en-US"/>
          </w:rPr>
          <w:t>D.</w:t>
        </w:r>
        <w:r w:rsidR="00AD27D7">
          <w:rPr>
            <w:rFonts w:ascii="Calibri" w:hAnsi="Calibri"/>
            <w:b w:val="0"/>
            <w:bCs w:val="0"/>
            <w:noProof/>
          </w:rPr>
          <w:tab/>
        </w:r>
        <w:r w:rsidR="00AD27D7" w:rsidRPr="00016D73">
          <w:rPr>
            <w:rStyle w:val="Hipervnculo"/>
            <w:i/>
            <w:iCs/>
            <w:noProof/>
            <w:lang w:val="en-US"/>
          </w:rPr>
          <w:t>Assumptions made</w:t>
        </w:r>
        <w:r w:rsidR="00AD27D7">
          <w:rPr>
            <w:noProof/>
            <w:webHidden/>
          </w:rPr>
          <w:tab/>
        </w:r>
        <w:r>
          <w:rPr>
            <w:noProof/>
            <w:webHidden/>
          </w:rPr>
          <w:fldChar w:fldCharType="begin"/>
        </w:r>
        <w:r w:rsidR="00AD27D7">
          <w:rPr>
            <w:noProof/>
            <w:webHidden/>
          </w:rPr>
          <w:instrText xml:space="preserve"> PAGEREF _Toc254912259 \h </w:instrText>
        </w:r>
        <w:r>
          <w:rPr>
            <w:noProof/>
            <w:webHidden/>
          </w:rPr>
        </w:r>
        <w:r>
          <w:rPr>
            <w:noProof/>
            <w:webHidden/>
          </w:rPr>
          <w:fldChar w:fldCharType="separate"/>
        </w:r>
        <w:r w:rsidR="005E5A28">
          <w:rPr>
            <w:noProof/>
            <w:webHidden/>
          </w:rPr>
          <w:t>22</w:t>
        </w:r>
        <w:r>
          <w:rPr>
            <w:noProof/>
            <w:webHidden/>
          </w:rPr>
          <w:fldChar w:fldCharType="end"/>
        </w:r>
      </w:hyperlink>
    </w:p>
    <w:p w:rsidR="00AD27D7" w:rsidRDefault="00DD7CFF">
      <w:pPr>
        <w:pStyle w:val="TDC1"/>
        <w:rPr>
          <w:rFonts w:cs="Times New Roman"/>
          <w:bCs w:val="0"/>
          <w:iCs w:val="0"/>
          <w:sz w:val="22"/>
          <w:szCs w:val="22"/>
          <w:lang w:val="es-ES"/>
        </w:rPr>
      </w:pPr>
      <w:hyperlink w:anchor="_Toc254912260" w:history="1">
        <w:r w:rsidR="00AD27D7" w:rsidRPr="00016D73">
          <w:rPr>
            <w:rStyle w:val="Hipervnculo"/>
            <w:lang w:eastAsia="en-US"/>
          </w:rPr>
          <w:t>IV. Conclusions and Policy Implications</w:t>
        </w:r>
        <w:r w:rsidR="00AD27D7">
          <w:rPr>
            <w:webHidden/>
          </w:rPr>
          <w:tab/>
        </w:r>
        <w:r>
          <w:rPr>
            <w:webHidden/>
          </w:rPr>
          <w:fldChar w:fldCharType="begin"/>
        </w:r>
        <w:r w:rsidR="00AD27D7">
          <w:rPr>
            <w:webHidden/>
          </w:rPr>
          <w:instrText xml:space="preserve"> PAGEREF _Toc254912260 \h </w:instrText>
        </w:r>
        <w:r>
          <w:rPr>
            <w:webHidden/>
          </w:rPr>
        </w:r>
        <w:r>
          <w:rPr>
            <w:webHidden/>
          </w:rPr>
          <w:fldChar w:fldCharType="separate"/>
        </w:r>
        <w:r w:rsidR="005E5A28">
          <w:rPr>
            <w:webHidden/>
          </w:rPr>
          <w:t>23</w:t>
        </w:r>
        <w:r>
          <w:rPr>
            <w:webHidden/>
          </w:rPr>
          <w:fldChar w:fldCharType="end"/>
        </w:r>
      </w:hyperlink>
    </w:p>
    <w:p w:rsidR="00AD27D7" w:rsidRDefault="00DD7CFF">
      <w:pPr>
        <w:pStyle w:val="TDC1"/>
        <w:rPr>
          <w:rFonts w:cs="Times New Roman"/>
          <w:bCs w:val="0"/>
          <w:iCs w:val="0"/>
          <w:sz w:val="22"/>
          <w:szCs w:val="22"/>
          <w:lang w:val="es-ES"/>
        </w:rPr>
      </w:pPr>
      <w:hyperlink w:anchor="_Toc254912261" w:history="1">
        <w:r w:rsidR="00AD27D7" w:rsidRPr="00016D73">
          <w:rPr>
            <w:rStyle w:val="Hipervnculo"/>
            <w:lang w:eastAsia="en-US"/>
          </w:rPr>
          <w:t>V. Challenges to conducting this work</w:t>
        </w:r>
        <w:r w:rsidR="00AD27D7">
          <w:rPr>
            <w:webHidden/>
          </w:rPr>
          <w:tab/>
        </w:r>
        <w:r>
          <w:rPr>
            <w:webHidden/>
          </w:rPr>
          <w:fldChar w:fldCharType="begin"/>
        </w:r>
        <w:r w:rsidR="00AD27D7">
          <w:rPr>
            <w:webHidden/>
          </w:rPr>
          <w:instrText xml:space="preserve"> PAGEREF _Toc254912261 \h </w:instrText>
        </w:r>
        <w:r>
          <w:rPr>
            <w:webHidden/>
          </w:rPr>
        </w:r>
        <w:r>
          <w:rPr>
            <w:webHidden/>
          </w:rPr>
          <w:fldChar w:fldCharType="separate"/>
        </w:r>
        <w:r w:rsidR="005E5A28">
          <w:rPr>
            <w:webHidden/>
          </w:rPr>
          <w:t>24</w:t>
        </w:r>
        <w:r>
          <w:rPr>
            <w:webHidden/>
          </w:rPr>
          <w:fldChar w:fldCharType="end"/>
        </w:r>
      </w:hyperlink>
    </w:p>
    <w:p w:rsidR="00AD27D7" w:rsidRDefault="00DD7CFF">
      <w:pPr>
        <w:pStyle w:val="TDC1"/>
        <w:rPr>
          <w:rFonts w:cs="Times New Roman"/>
          <w:bCs w:val="0"/>
          <w:iCs w:val="0"/>
          <w:sz w:val="22"/>
          <w:szCs w:val="22"/>
          <w:lang w:val="es-ES"/>
        </w:rPr>
      </w:pPr>
      <w:hyperlink w:anchor="_Toc254912262" w:history="1">
        <w:r w:rsidR="00AD27D7" w:rsidRPr="00016D73">
          <w:rPr>
            <w:rStyle w:val="Hipervnculo"/>
            <w:lang w:eastAsia="en-US"/>
          </w:rPr>
          <w:t>VI. Possible extensions</w:t>
        </w:r>
        <w:r w:rsidR="00AD27D7">
          <w:rPr>
            <w:webHidden/>
          </w:rPr>
          <w:tab/>
        </w:r>
        <w:r>
          <w:rPr>
            <w:webHidden/>
          </w:rPr>
          <w:fldChar w:fldCharType="begin"/>
        </w:r>
        <w:r w:rsidR="00AD27D7">
          <w:rPr>
            <w:webHidden/>
          </w:rPr>
          <w:instrText xml:space="preserve"> PAGEREF _Toc254912262 \h </w:instrText>
        </w:r>
        <w:r>
          <w:rPr>
            <w:webHidden/>
          </w:rPr>
        </w:r>
        <w:r>
          <w:rPr>
            <w:webHidden/>
          </w:rPr>
          <w:fldChar w:fldCharType="separate"/>
        </w:r>
        <w:r w:rsidR="005E5A28">
          <w:rPr>
            <w:webHidden/>
          </w:rPr>
          <w:t>25</w:t>
        </w:r>
        <w:r>
          <w:rPr>
            <w:webHidden/>
          </w:rPr>
          <w:fldChar w:fldCharType="end"/>
        </w:r>
      </w:hyperlink>
    </w:p>
    <w:p w:rsidR="00AD27D7" w:rsidRDefault="00DD7CFF">
      <w:pPr>
        <w:pStyle w:val="TDC1"/>
        <w:rPr>
          <w:rFonts w:cs="Times New Roman"/>
          <w:bCs w:val="0"/>
          <w:iCs w:val="0"/>
          <w:sz w:val="22"/>
          <w:szCs w:val="22"/>
          <w:lang w:val="es-ES"/>
        </w:rPr>
      </w:pPr>
      <w:hyperlink w:anchor="_Toc254912263" w:history="1">
        <w:r w:rsidR="00AD27D7" w:rsidRPr="00016D73">
          <w:rPr>
            <w:rStyle w:val="Hipervnculo"/>
            <w:lang w:eastAsia="en-US"/>
          </w:rPr>
          <w:t>VII. Plans for dissemination</w:t>
        </w:r>
        <w:r w:rsidR="00AD27D7">
          <w:rPr>
            <w:webHidden/>
          </w:rPr>
          <w:tab/>
        </w:r>
        <w:r>
          <w:rPr>
            <w:webHidden/>
          </w:rPr>
          <w:fldChar w:fldCharType="begin"/>
        </w:r>
        <w:r w:rsidR="00AD27D7">
          <w:rPr>
            <w:webHidden/>
          </w:rPr>
          <w:instrText xml:space="preserve"> PAGEREF _Toc254912263 \h </w:instrText>
        </w:r>
        <w:r>
          <w:rPr>
            <w:webHidden/>
          </w:rPr>
        </w:r>
        <w:r>
          <w:rPr>
            <w:webHidden/>
          </w:rPr>
          <w:fldChar w:fldCharType="separate"/>
        </w:r>
        <w:r w:rsidR="005E5A28">
          <w:rPr>
            <w:webHidden/>
          </w:rPr>
          <w:t>26</w:t>
        </w:r>
        <w:r>
          <w:rPr>
            <w:webHidden/>
          </w:rPr>
          <w:fldChar w:fldCharType="end"/>
        </w:r>
      </w:hyperlink>
    </w:p>
    <w:p w:rsidR="00AD27D7" w:rsidRDefault="00DD7CFF">
      <w:pPr>
        <w:pStyle w:val="TDC1"/>
        <w:rPr>
          <w:rFonts w:cs="Times New Roman"/>
          <w:bCs w:val="0"/>
          <w:iCs w:val="0"/>
          <w:sz w:val="22"/>
          <w:szCs w:val="22"/>
          <w:lang w:val="es-ES"/>
        </w:rPr>
      </w:pPr>
      <w:hyperlink w:anchor="_Toc254912264" w:history="1">
        <w:r w:rsidR="00AD27D7" w:rsidRPr="00016D73">
          <w:rPr>
            <w:rStyle w:val="Hipervnculo"/>
            <w:lang w:eastAsia="en-US"/>
          </w:rPr>
          <w:t>VIII. Bibliography</w:t>
        </w:r>
        <w:r w:rsidR="00AD27D7">
          <w:rPr>
            <w:webHidden/>
          </w:rPr>
          <w:tab/>
        </w:r>
        <w:r>
          <w:rPr>
            <w:webHidden/>
          </w:rPr>
          <w:fldChar w:fldCharType="begin"/>
        </w:r>
        <w:r w:rsidR="00AD27D7">
          <w:rPr>
            <w:webHidden/>
          </w:rPr>
          <w:instrText xml:space="preserve"> PAGEREF _Toc254912264 \h </w:instrText>
        </w:r>
        <w:r>
          <w:rPr>
            <w:webHidden/>
          </w:rPr>
        </w:r>
        <w:r>
          <w:rPr>
            <w:webHidden/>
          </w:rPr>
          <w:fldChar w:fldCharType="separate"/>
        </w:r>
        <w:r w:rsidR="005E5A28">
          <w:rPr>
            <w:webHidden/>
          </w:rPr>
          <w:t>27</w:t>
        </w:r>
        <w:r>
          <w:rPr>
            <w:webHidden/>
          </w:rPr>
          <w:fldChar w:fldCharType="end"/>
        </w:r>
      </w:hyperlink>
    </w:p>
    <w:p w:rsidR="00AD27D7" w:rsidRDefault="00DD7CFF">
      <w:pPr>
        <w:pStyle w:val="TDC1"/>
        <w:rPr>
          <w:rFonts w:cs="Times New Roman"/>
          <w:bCs w:val="0"/>
          <w:iCs w:val="0"/>
          <w:sz w:val="22"/>
          <w:szCs w:val="22"/>
          <w:lang w:val="es-ES"/>
        </w:rPr>
      </w:pPr>
      <w:hyperlink w:anchor="_Toc254912265" w:history="1">
        <w:r w:rsidR="00AD27D7" w:rsidRPr="00016D73">
          <w:rPr>
            <w:rStyle w:val="Hipervnculo"/>
            <w:lang w:eastAsia="en-US"/>
          </w:rPr>
          <w:t>IX. Appendixes</w:t>
        </w:r>
        <w:r w:rsidR="00AD27D7">
          <w:rPr>
            <w:webHidden/>
          </w:rPr>
          <w:tab/>
        </w:r>
        <w:r>
          <w:rPr>
            <w:webHidden/>
          </w:rPr>
          <w:fldChar w:fldCharType="begin"/>
        </w:r>
        <w:r w:rsidR="00AD27D7">
          <w:rPr>
            <w:webHidden/>
          </w:rPr>
          <w:instrText xml:space="preserve"> PAGEREF _Toc254912265 \h </w:instrText>
        </w:r>
        <w:r>
          <w:rPr>
            <w:webHidden/>
          </w:rPr>
        </w:r>
        <w:r>
          <w:rPr>
            <w:webHidden/>
          </w:rPr>
          <w:fldChar w:fldCharType="separate"/>
        </w:r>
        <w:r w:rsidR="005E5A28">
          <w:rPr>
            <w:webHidden/>
          </w:rPr>
          <w:t>28</w:t>
        </w:r>
        <w:r>
          <w:rPr>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66" w:history="1">
        <w:r w:rsidR="00AD27D7" w:rsidRPr="00016D73">
          <w:rPr>
            <w:rStyle w:val="Hipervnculo"/>
            <w:i/>
            <w:iCs/>
            <w:noProof/>
          </w:rPr>
          <w:t>A.</w:t>
        </w:r>
        <w:r w:rsidR="00AD27D7">
          <w:rPr>
            <w:rFonts w:ascii="Calibri" w:hAnsi="Calibri"/>
            <w:b w:val="0"/>
            <w:bCs w:val="0"/>
            <w:noProof/>
          </w:rPr>
          <w:tab/>
        </w:r>
        <w:r w:rsidR="00AD27D7" w:rsidRPr="00016D73">
          <w:rPr>
            <w:rStyle w:val="Hipervnculo"/>
            <w:i/>
            <w:iCs/>
            <w:noProof/>
          </w:rPr>
          <w:t>Appendix 1: PRONASAR</w:t>
        </w:r>
        <w:r w:rsidR="00AD27D7">
          <w:rPr>
            <w:noProof/>
            <w:webHidden/>
          </w:rPr>
          <w:tab/>
        </w:r>
        <w:r>
          <w:rPr>
            <w:noProof/>
            <w:webHidden/>
          </w:rPr>
          <w:fldChar w:fldCharType="begin"/>
        </w:r>
        <w:r w:rsidR="00AD27D7">
          <w:rPr>
            <w:noProof/>
            <w:webHidden/>
          </w:rPr>
          <w:instrText xml:space="preserve"> PAGEREF _Toc254912266 \h </w:instrText>
        </w:r>
        <w:r>
          <w:rPr>
            <w:noProof/>
            <w:webHidden/>
          </w:rPr>
        </w:r>
        <w:r>
          <w:rPr>
            <w:noProof/>
            <w:webHidden/>
          </w:rPr>
          <w:fldChar w:fldCharType="separate"/>
        </w:r>
        <w:r w:rsidR="005E5A28">
          <w:rPr>
            <w:noProof/>
            <w:webHidden/>
          </w:rPr>
          <w:t>28</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67" w:history="1">
        <w:r w:rsidR="00AD27D7" w:rsidRPr="00016D73">
          <w:rPr>
            <w:rStyle w:val="Hipervnculo"/>
            <w:i/>
            <w:iCs/>
            <w:noProof/>
          </w:rPr>
          <w:t>B.</w:t>
        </w:r>
        <w:r w:rsidR="00AD27D7">
          <w:rPr>
            <w:rFonts w:ascii="Calibri" w:hAnsi="Calibri"/>
            <w:b w:val="0"/>
            <w:bCs w:val="0"/>
            <w:noProof/>
          </w:rPr>
          <w:tab/>
        </w:r>
        <w:r w:rsidR="00AD27D7" w:rsidRPr="00016D73">
          <w:rPr>
            <w:rStyle w:val="Hipervnculo"/>
            <w:i/>
            <w:iCs/>
            <w:noProof/>
          </w:rPr>
          <w:t>Appendix 2: Names of the 50 EPS</w:t>
        </w:r>
        <w:r w:rsidR="00AD27D7">
          <w:rPr>
            <w:noProof/>
            <w:webHidden/>
          </w:rPr>
          <w:tab/>
        </w:r>
        <w:r>
          <w:rPr>
            <w:noProof/>
            <w:webHidden/>
          </w:rPr>
          <w:fldChar w:fldCharType="begin"/>
        </w:r>
        <w:r w:rsidR="00AD27D7">
          <w:rPr>
            <w:noProof/>
            <w:webHidden/>
          </w:rPr>
          <w:instrText xml:space="preserve"> PAGEREF _Toc254912267 \h </w:instrText>
        </w:r>
        <w:r>
          <w:rPr>
            <w:noProof/>
            <w:webHidden/>
          </w:rPr>
        </w:r>
        <w:r>
          <w:rPr>
            <w:noProof/>
            <w:webHidden/>
          </w:rPr>
          <w:fldChar w:fldCharType="separate"/>
        </w:r>
        <w:r w:rsidR="005E5A28">
          <w:rPr>
            <w:noProof/>
            <w:webHidden/>
          </w:rPr>
          <w:t>29</w:t>
        </w:r>
        <w:r>
          <w:rPr>
            <w:noProof/>
            <w:webHidden/>
          </w:rPr>
          <w:fldChar w:fldCharType="end"/>
        </w:r>
      </w:hyperlink>
    </w:p>
    <w:p w:rsidR="00AD27D7" w:rsidRDefault="00DD7CFF">
      <w:pPr>
        <w:pStyle w:val="TDC2"/>
        <w:tabs>
          <w:tab w:val="left" w:pos="720"/>
          <w:tab w:val="right" w:leader="dot" w:pos="8494"/>
        </w:tabs>
        <w:rPr>
          <w:rFonts w:ascii="Calibri" w:hAnsi="Calibri"/>
          <w:b w:val="0"/>
          <w:bCs w:val="0"/>
          <w:noProof/>
        </w:rPr>
      </w:pPr>
      <w:hyperlink w:anchor="_Toc254912268" w:history="1">
        <w:r w:rsidR="00AD27D7" w:rsidRPr="00016D73">
          <w:rPr>
            <w:rStyle w:val="Hipervnculo"/>
            <w:i/>
            <w:iCs/>
            <w:noProof/>
            <w:lang w:val="en-US"/>
          </w:rPr>
          <w:t>C.</w:t>
        </w:r>
        <w:r w:rsidR="00AD27D7">
          <w:rPr>
            <w:rFonts w:ascii="Calibri" w:hAnsi="Calibri"/>
            <w:b w:val="0"/>
            <w:bCs w:val="0"/>
            <w:noProof/>
          </w:rPr>
          <w:tab/>
        </w:r>
        <w:r w:rsidR="00AD27D7" w:rsidRPr="00016D73">
          <w:rPr>
            <w:rStyle w:val="Hipervnculo"/>
            <w:i/>
            <w:iCs/>
            <w:noProof/>
            <w:lang w:val="en-US"/>
          </w:rPr>
          <w:t>Appendix 3: Departments by GDP per Capita (in Nuevos Soles)</w:t>
        </w:r>
        <w:r w:rsidR="00AD27D7">
          <w:rPr>
            <w:noProof/>
            <w:webHidden/>
          </w:rPr>
          <w:tab/>
        </w:r>
        <w:r>
          <w:rPr>
            <w:noProof/>
            <w:webHidden/>
          </w:rPr>
          <w:fldChar w:fldCharType="begin"/>
        </w:r>
        <w:r w:rsidR="00AD27D7">
          <w:rPr>
            <w:noProof/>
            <w:webHidden/>
          </w:rPr>
          <w:instrText xml:space="preserve"> PAGEREF _Toc254912268 \h </w:instrText>
        </w:r>
        <w:r>
          <w:rPr>
            <w:noProof/>
            <w:webHidden/>
          </w:rPr>
        </w:r>
        <w:r>
          <w:rPr>
            <w:noProof/>
            <w:webHidden/>
          </w:rPr>
          <w:fldChar w:fldCharType="separate"/>
        </w:r>
        <w:r w:rsidR="005E5A28">
          <w:rPr>
            <w:noProof/>
            <w:webHidden/>
          </w:rPr>
          <w:t>30</w:t>
        </w:r>
        <w:r>
          <w:rPr>
            <w:noProof/>
            <w:webHidden/>
          </w:rPr>
          <w:fldChar w:fldCharType="end"/>
        </w:r>
      </w:hyperlink>
    </w:p>
    <w:p w:rsidR="00DD4C28" w:rsidRPr="008A4203" w:rsidRDefault="00DD7CFF" w:rsidP="00965157">
      <w:pPr>
        <w:rPr>
          <w:rFonts w:ascii="Calibri" w:hAnsi="Calibri"/>
          <w:b/>
          <w:bCs/>
          <w:sz w:val="40"/>
          <w:szCs w:val="40"/>
          <w:lang w:val="en-GB"/>
        </w:rPr>
      </w:pPr>
      <w:r w:rsidRPr="00AA613F">
        <w:rPr>
          <w:rFonts w:ascii="Calibri" w:hAnsi="Calibri" w:cs="Arial"/>
          <w:i/>
          <w:iCs/>
          <w:sz w:val="28"/>
          <w:szCs w:val="28"/>
          <w:lang w:val="en-GB"/>
        </w:rPr>
        <w:fldChar w:fldCharType="end"/>
      </w:r>
    </w:p>
    <w:p w:rsidR="00965157" w:rsidRDefault="00965157" w:rsidP="00965157">
      <w:pPr>
        <w:rPr>
          <w:b/>
          <w:bCs/>
          <w:sz w:val="40"/>
          <w:szCs w:val="40"/>
          <w:lang w:val="en-GB"/>
        </w:rPr>
      </w:pPr>
    </w:p>
    <w:p w:rsidR="00965157" w:rsidRDefault="00965157" w:rsidP="00965157">
      <w:pPr>
        <w:rPr>
          <w:b/>
          <w:bCs/>
          <w:sz w:val="40"/>
          <w:szCs w:val="40"/>
        </w:rPr>
      </w:pPr>
    </w:p>
    <w:p w:rsidR="009E5492" w:rsidRPr="009E5492" w:rsidRDefault="00187447" w:rsidP="00965157">
      <w:pPr>
        <w:rPr>
          <w:b/>
          <w:bCs/>
          <w:sz w:val="16"/>
          <w:szCs w:val="16"/>
          <w:lang w:val="en-US"/>
        </w:rPr>
      </w:pPr>
      <w:r w:rsidRPr="00187447">
        <w:rPr>
          <w:b/>
          <w:bCs/>
          <w:sz w:val="40"/>
          <w:szCs w:val="40"/>
          <w:lang w:val="en-US"/>
        </w:rPr>
        <w:br w:type="page"/>
      </w:r>
    </w:p>
    <w:p w:rsidR="009E5492" w:rsidRDefault="009E5492" w:rsidP="009E5492">
      <w:pPr>
        <w:pStyle w:val="Graciela1"/>
        <w:spacing w:before="0"/>
      </w:pPr>
      <w:bookmarkStart w:id="1" w:name="_Toc254912247"/>
      <w:r>
        <w:lastRenderedPageBreak/>
        <w:t>Introduction</w:t>
      </w:r>
      <w:bookmarkEnd w:id="1"/>
    </w:p>
    <w:p w:rsidR="009E5492" w:rsidRPr="00C472D2" w:rsidRDefault="009E5492" w:rsidP="009E5492">
      <w:pPr>
        <w:rPr>
          <w:lang w:val="en-US"/>
        </w:rPr>
      </w:pPr>
    </w:p>
    <w:p w:rsidR="00D55959" w:rsidRDefault="00FE5124" w:rsidP="00423D7F">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 xml:space="preserve">The </w:t>
      </w:r>
      <w:r w:rsidR="00280816" w:rsidRPr="00280816">
        <w:rPr>
          <w:rFonts w:ascii="Calibri" w:eastAsia="Calibri" w:hAnsi="Calibri"/>
          <w:bCs/>
          <w:sz w:val="22"/>
          <w:szCs w:val="20"/>
          <w:lang w:val="en-US" w:eastAsia="en-US"/>
        </w:rPr>
        <w:t>Water and Sanitation sector</w:t>
      </w:r>
      <w:r>
        <w:rPr>
          <w:rFonts w:ascii="Calibri" w:eastAsia="Calibri" w:hAnsi="Calibri"/>
          <w:bCs/>
          <w:sz w:val="22"/>
          <w:szCs w:val="20"/>
          <w:lang w:val="en-US" w:eastAsia="en-US"/>
        </w:rPr>
        <w:t xml:space="preserve"> in Peru still </w:t>
      </w:r>
      <w:r w:rsidR="00C472D2">
        <w:rPr>
          <w:rFonts w:ascii="Calibri" w:eastAsia="Calibri" w:hAnsi="Calibri"/>
          <w:bCs/>
          <w:sz w:val="22"/>
          <w:szCs w:val="20"/>
          <w:lang w:val="en-US" w:eastAsia="en-US"/>
        </w:rPr>
        <w:t>requires a lot of action</w:t>
      </w:r>
      <w:r>
        <w:rPr>
          <w:rFonts w:ascii="Calibri" w:eastAsia="Calibri" w:hAnsi="Calibri"/>
          <w:bCs/>
          <w:sz w:val="22"/>
          <w:szCs w:val="20"/>
          <w:lang w:val="en-US" w:eastAsia="en-US"/>
        </w:rPr>
        <w:t>.</w:t>
      </w:r>
      <w:r w:rsidR="00A90BC4">
        <w:rPr>
          <w:rFonts w:ascii="Calibri" w:eastAsia="Calibri" w:hAnsi="Calibri"/>
          <w:bCs/>
          <w:sz w:val="22"/>
          <w:szCs w:val="20"/>
          <w:lang w:val="en-US" w:eastAsia="en-US"/>
        </w:rPr>
        <w:t xml:space="preserve"> One of the main problems is the lack of an appropriate water </w:t>
      </w:r>
      <w:r w:rsidR="00842C5F">
        <w:rPr>
          <w:rFonts w:ascii="Calibri" w:eastAsia="Calibri" w:hAnsi="Calibri"/>
          <w:bCs/>
          <w:sz w:val="22"/>
          <w:szCs w:val="20"/>
          <w:lang w:val="en-US" w:eastAsia="en-US"/>
        </w:rPr>
        <w:t>provision</w:t>
      </w:r>
      <w:r w:rsidR="00A90BC4">
        <w:rPr>
          <w:rFonts w:ascii="Calibri" w:eastAsia="Calibri" w:hAnsi="Calibri"/>
          <w:bCs/>
          <w:sz w:val="22"/>
          <w:szCs w:val="20"/>
          <w:lang w:val="en-US" w:eastAsia="en-US"/>
        </w:rPr>
        <w:t xml:space="preserve"> </w:t>
      </w:r>
      <w:r w:rsidR="006E51D3">
        <w:rPr>
          <w:rFonts w:ascii="Calibri" w:eastAsia="Calibri" w:hAnsi="Calibri"/>
          <w:bCs/>
          <w:sz w:val="22"/>
          <w:szCs w:val="20"/>
          <w:lang w:val="en-US" w:eastAsia="en-US"/>
        </w:rPr>
        <w:t>in many areas of the country, especially in rural ones</w:t>
      </w:r>
      <w:r w:rsidR="00A90BC4">
        <w:rPr>
          <w:rFonts w:ascii="Calibri" w:eastAsia="Calibri" w:hAnsi="Calibri"/>
          <w:bCs/>
          <w:sz w:val="22"/>
          <w:szCs w:val="20"/>
          <w:lang w:val="en-US" w:eastAsia="en-US"/>
        </w:rPr>
        <w:t xml:space="preserve">. This situation </w:t>
      </w:r>
      <w:r w:rsidR="00C472D2">
        <w:rPr>
          <w:rFonts w:ascii="Calibri" w:eastAsia="Calibri" w:hAnsi="Calibri"/>
          <w:bCs/>
          <w:sz w:val="22"/>
          <w:szCs w:val="20"/>
          <w:lang w:val="en-US" w:eastAsia="en-US"/>
        </w:rPr>
        <w:t>gets</w:t>
      </w:r>
      <w:r w:rsidR="00A90BC4">
        <w:rPr>
          <w:rFonts w:ascii="Calibri" w:eastAsia="Calibri" w:hAnsi="Calibri"/>
          <w:bCs/>
          <w:sz w:val="22"/>
          <w:szCs w:val="20"/>
          <w:lang w:val="en-US" w:eastAsia="en-US"/>
        </w:rPr>
        <w:t xml:space="preserve"> more complicated in countries like Peru</w:t>
      </w:r>
      <w:r w:rsidR="0008745D">
        <w:rPr>
          <w:rFonts w:ascii="Calibri" w:eastAsia="Calibri" w:hAnsi="Calibri"/>
          <w:bCs/>
          <w:sz w:val="22"/>
          <w:szCs w:val="20"/>
          <w:lang w:val="en-US" w:eastAsia="en-US"/>
        </w:rPr>
        <w:t>, due to its geographical</w:t>
      </w:r>
      <w:r w:rsidR="000873C0">
        <w:rPr>
          <w:rFonts w:ascii="Calibri" w:eastAsia="Calibri" w:hAnsi="Calibri"/>
          <w:bCs/>
          <w:sz w:val="22"/>
          <w:szCs w:val="20"/>
          <w:lang w:val="en-US" w:eastAsia="en-US"/>
        </w:rPr>
        <w:t xml:space="preserve"> conditions</w:t>
      </w:r>
      <w:r w:rsidR="0037422D">
        <w:rPr>
          <w:rFonts w:ascii="Calibri" w:eastAsia="Calibri" w:hAnsi="Calibri"/>
          <w:bCs/>
          <w:sz w:val="22"/>
          <w:szCs w:val="20"/>
          <w:lang w:val="en-US" w:eastAsia="en-US"/>
        </w:rPr>
        <w:t xml:space="preserve"> and the difficulty </w:t>
      </w:r>
      <w:r w:rsidR="00842C5F">
        <w:rPr>
          <w:rFonts w:ascii="Calibri" w:eastAsia="Calibri" w:hAnsi="Calibri"/>
          <w:bCs/>
          <w:sz w:val="22"/>
          <w:szCs w:val="20"/>
          <w:lang w:val="en-US" w:eastAsia="en-US"/>
        </w:rPr>
        <w:t>to</w:t>
      </w:r>
      <w:r w:rsidR="0037422D">
        <w:rPr>
          <w:rFonts w:ascii="Calibri" w:eastAsia="Calibri" w:hAnsi="Calibri"/>
          <w:bCs/>
          <w:sz w:val="22"/>
          <w:szCs w:val="20"/>
          <w:lang w:val="en-US" w:eastAsia="en-US"/>
        </w:rPr>
        <w:t xml:space="preserve"> access </w:t>
      </w:r>
      <w:r w:rsidR="006E51D3">
        <w:rPr>
          <w:rFonts w:ascii="Calibri" w:eastAsia="Calibri" w:hAnsi="Calibri"/>
          <w:bCs/>
          <w:sz w:val="22"/>
          <w:szCs w:val="20"/>
          <w:lang w:val="en-US" w:eastAsia="en-US"/>
        </w:rPr>
        <w:t xml:space="preserve">very sparsely populated rural </w:t>
      </w:r>
      <w:r w:rsidR="0037422D">
        <w:rPr>
          <w:rFonts w:ascii="Calibri" w:eastAsia="Calibri" w:hAnsi="Calibri"/>
          <w:bCs/>
          <w:sz w:val="22"/>
          <w:szCs w:val="20"/>
          <w:lang w:val="en-US" w:eastAsia="en-US"/>
        </w:rPr>
        <w:t xml:space="preserve">areas. </w:t>
      </w:r>
      <w:r w:rsidR="005316D0">
        <w:rPr>
          <w:rFonts w:ascii="Calibri" w:eastAsia="Calibri" w:hAnsi="Calibri"/>
          <w:bCs/>
          <w:sz w:val="22"/>
          <w:szCs w:val="20"/>
          <w:lang w:val="en-US" w:eastAsia="en-US"/>
        </w:rPr>
        <w:t>That is why</w:t>
      </w:r>
      <w:r w:rsidR="000B39A4">
        <w:rPr>
          <w:rFonts w:ascii="Calibri" w:eastAsia="Calibri" w:hAnsi="Calibri"/>
          <w:bCs/>
          <w:sz w:val="22"/>
          <w:szCs w:val="20"/>
          <w:lang w:val="en-US" w:eastAsia="en-US"/>
        </w:rPr>
        <w:t xml:space="preserve"> </w:t>
      </w:r>
      <w:r w:rsidR="00842C5F">
        <w:rPr>
          <w:rFonts w:ascii="Calibri" w:eastAsia="Calibri" w:hAnsi="Calibri"/>
          <w:bCs/>
          <w:sz w:val="22"/>
          <w:szCs w:val="20"/>
          <w:lang w:val="en-US" w:eastAsia="en-US"/>
        </w:rPr>
        <w:t>the current administration</w:t>
      </w:r>
      <w:r w:rsidR="000B39A4">
        <w:rPr>
          <w:rFonts w:ascii="Calibri" w:eastAsia="Calibri" w:hAnsi="Calibri"/>
          <w:bCs/>
          <w:sz w:val="22"/>
          <w:szCs w:val="20"/>
          <w:lang w:val="en-US" w:eastAsia="en-US"/>
        </w:rPr>
        <w:t xml:space="preserve"> has prioritized the national program: </w:t>
      </w:r>
      <w:r w:rsidR="006E51D3">
        <w:rPr>
          <w:rFonts w:ascii="Calibri" w:eastAsia="Calibri" w:hAnsi="Calibri"/>
          <w:bCs/>
          <w:sz w:val="22"/>
          <w:szCs w:val="20"/>
          <w:lang w:val="en-US" w:eastAsia="en-US"/>
        </w:rPr>
        <w:t>“Water for Everyone” (</w:t>
      </w:r>
      <w:r w:rsidR="000B39A4">
        <w:rPr>
          <w:rFonts w:ascii="Calibri" w:eastAsia="Calibri" w:hAnsi="Calibri"/>
          <w:bCs/>
          <w:sz w:val="22"/>
          <w:szCs w:val="20"/>
          <w:lang w:val="en-US" w:eastAsia="en-US"/>
        </w:rPr>
        <w:t>Agua para Todos</w:t>
      </w:r>
      <w:r w:rsidR="006E51D3">
        <w:rPr>
          <w:rFonts w:ascii="Calibri" w:eastAsia="Calibri" w:hAnsi="Calibri"/>
          <w:bCs/>
          <w:sz w:val="22"/>
          <w:szCs w:val="20"/>
          <w:lang w:val="en-US" w:eastAsia="en-US"/>
        </w:rPr>
        <w:t>, in Spanish)</w:t>
      </w:r>
      <w:r w:rsidR="000B39A4">
        <w:rPr>
          <w:rFonts w:ascii="Calibri" w:eastAsia="Calibri" w:hAnsi="Calibri"/>
          <w:bCs/>
          <w:sz w:val="22"/>
          <w:szCs w:val="20"/>
          <w:lang w:val="en-US" w:eastAsia="en-US"/>
        </w:rPr>
        <w:t xml:space="preserve">. The main objective of this program is to ensure an adequate water and sanitation service for </w:t>
      </w:r>
      <w:r w:rsidR="00A566E9">
        <w:rPr>
          <w:rFonts w:ascii="Calibri" w:eastAsia="Calibri" w:hAnsi="Calibri"/>
          <w:bCs/>
          <w:sz w:val="22"/>
          <w:szCs w:val="20"/>
          <w:lang w:val="en-US" w:eastAsia="en-US"/>
        </w:rPr>
        <w:t>the whole population</w:t>
      </w:r>
      <w:r w:rsidR="009D4D3A">
        <w:rPr>
          <w:rFonts w:ascii="Calibri" w:eastAsia="Calibri" w:hAnsi="Calibri"/>
          <w:bCs/>
          <w:sz w:val="22"/>
          <w:szCs w:val="20"/>
          <w:lang w:val="en-US" w:eastAsia="en-US"/>
        </w:rPr>
        <w:t>. For rural areas, the project PRONASAR has been implemented.</w:t>
      </w:r>
    </w:p>
    <w:p w:rsidR="00D55959" w:rsidRDefault="00D55959" w:rsidP="00423D7F">
      <w:pPr>
        <w:spacing w:line="276" w:lineRule="auto"/>
        <w:jc w:val="both"/>
        <w:rPr>
          <w:rFonts w:ascii="Calibri" w:eastAsia="Calibri" w:hAnsi="Calibri"/>
          <w:bCs/>
          <w:sz w:val="22"/>
          <w:szCs w:val="20"/>
          <w:lang w:val="en-US" w:eastAsia="en-US"/>
        </w:rPr>
      </w:pPr>
    </w:p>
    <w:p w:rsidR="00A1136C" w:rsidRDefault="00D55959" w:rsidP="00423D7F">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 xml:space="preserve">Moreover, it is also well known that </w:t>
      </w:r>
      <w:r w:rsidR="006E51D3">
        <w:rPr>
          <w:rFonts w:ascii="Calibri" w:eastAsia="Calibri" w:hAnsi="Calibri"/>
          <w:bCs/>
          <w:sz w:val="22"/>
          <w:szCs w:val="20"/>
          <w:lang w:val="en-US" w:eastAsia="en-US"/>
        </w:rPr>
        <w:t xml:space="preserve">in order to provide </w:t>
      </w:r>
      <w:r>
        <w:rPr>
          <w:rFonts w:ascii="Calibri" w:eastAsia="Calibri" w:hAnsi="Calibri"/>
          <w:bCs/>
          <w:sz w:val="22"/>
          <w:szCs w:val="20"/>
          <w:lang w:val="en-US" w:eastAsia="en-US"/>
        </w:rPr>
        <w:t xml:space="preserve">water and sanitation </w:t>
      </w:r>
      <w:r w:rsidR="006E51D3">
        <w:rPr>
          <w:rFonts w:ascii="Calibri" w:eastAsia="Calibri" w:hAnsi="Calibri"/>
          <w:bCs/>
          <w:sz w:val="22"/>
          <w:szCs w:val="20"/>
          <w:lang w:val="en-US" w:eastAsia="en-US"/>
        </w:rPr>
        <w:t xml:space="preserve">services it is required a large proportion of physical capital investment.  In the midst of a recession, this </w:t>
      </w:r>
      <w:r>
        <w:rPr>
          <w:rFonts w:ascii="Calibri" w:eastAsia="Calibri" w:hAnsi="Calibri"/>
          <w:bCs/>
          <w:sz w:val="22"/>
          <w:szCs w:val="20"/>
          <w:lang w:val="en-US" w:eastAsia="en-US"/>
        </w:rPr>
        <w:t xml:space="preserve">sector </w:t>
      </w:r>
      <w:r w:rsidR="006E51D3">
        <w:rPr>
          <w:rFonts w:ascii="Calibri" w:eastAsia="Calibri" w:hAnsi="Calibri"/>
          <w:bCs/>
          <w:sz w:val="22"/>
          <w:szCs w:val="20"/>
          <w:lang w:val="en-US" w:eastAsia="en-US"/>
        </w:rPr>
        <w:t xml:space="preserve">would be one of those selected for </w:t>
      </w:r>
      <w:r w:rsidR="00D35149">
        <w:rPr>
          <w:rFonts w:ascii="Calibri" w:eastAsia="Calibri" w:hAnsi="Calibri"/>
          <w:bCs/>
          <w:sz w:val="22"/>
          <w:szCs w:val="20"/>
          <w:lang w:val="en-US" w:eastAsia="en-US"/>
        </w:rPr>
        <w:t xml:space="preserve">countercyclical </w:t>
      </w:r>
      <w:r w:rsidR="00D62D9A">
        <w:rPr>
          <w:rFonts w:ascii="Calibri" w:eastAsia="Calibri" w:hAnsi="Calibri"/>
          <w:bCs/>
          <w:sz w:val="22"/>
          <w:szCs w:val="20"/>
          <w:lang w:val="en-US" w:eastAsia="en-US"/>
        </w:rPr>
        <w:t xml:space="preserve">fiscal </w:t>
      </w:r>
      <w:r w:rsidR="006E51D3">
        <w:rPr>
          <w:rFonts w:ascii="Calibri" w:eastAsia="Calibri" w:hAnsi="Calibri"/>
          <w:bCs/>
          <w:sz w:val="22"/>
          <w:szCs w:val="20"/>
          <w:lang w:val="en-US" w:eastAsia="en-US"/>
        </w:rPr>
        <w:t>expansion</w:t>
      </w:r>
      <w:r w:rsidR="00D35149">
        <w:rPr>
          <w:rFonts w:ascii="Calibri" w:eastAsia="Calibri" w:hAnsi="Calibri"/>
          <w:bCs/>
          <w:sz w:val="22"/>
          <w:szCs w:val="20"/>
          <w:lang w:val="en-US" w:eastAsia="en-US"/>
        </w:rPr>
        <w:t>.</w:t>
      </w:r>
      <w:r w:rsidR="00A8612C">
        <w:rPr>
          <w:rFonts w:ascii="Calibri" w:eastAsia="Calibri" w:hAnsi="Calibri"/>
          <w:bCs/>
          <w:sz w:val="22"/>
          <w:szCs w:val="20"/>
          <w:lang w:val="en-US" w:eastAsia="en-US"/>
        </w:rPr>
        <w:t xml:space="preserve"> These are some of the reasons why</w:t>
      </w:r>
      <w:r w:rsidR="005316D0">
        <w:rPr>
          <w:rFonts w:ascii="Calibri" w:eastAsia="Calibri" w:hAnsi="Calibri"/>
          <w:bCs/>
          <w:sz w:val="22"/>
          <w:szCs w:val="20"/>
          <w:lang w:val="en-US" w:eastAsia="en-US"/>
        </w:rPr>
        <w:t>, since 2006</w:t>
      </w:r>
      <w:r w:rsidR="00A8612C">
        <w:rPr>
          <w:rFonts w:ascii="Calibri" w:eastAsia="Calibri" w:hAnsi="Calibri"/>
          <w:bCs/>
          <w:sz w:val="22"/>
          <w:szCs w:val="20"/>
          <w:lang w:val="en-US" w:eastAsia="en-US"/>
        </w:rPr>
        <w:t>,</w:t>
      </w:r>
      <w:r w:rsidR="005316D0">
        <w:rPr>
          <w:rFonts w:ascii="Calibri" w:eastAsia="Calibri" w:hAnsi="Calibri"/>
          <w:bCs/>
          <w:sz w:val="22"/>
          <w:szCs w:val="20"/>
          <w:lang w:val="en-US" w:eastAsia="en-US"/>
        </w:rPr>
        <w:t xml:space="preserve"> </w:t>
      </w:r>
      <w:r w:rsidR="00E25E18">
        <w:rPr>
          <w:rFonts w:ascii="Calibri" w:eastAsia="Calibri" w:hAnsi="Calibri"/>
          <w:bCs/>
          <w:sz w:val="22"/>
          <w:szCs w:val="20"/>
          <w:lang w:val="en-US" w:eastAsia="en-US"/>
        </w:rPr>
        <w:t xml:space="preserve">this </w:t>
      </w:r>
      <w:r w:rsidR="00A8612C">
        <w:rPr>
          <w:rFonts w:ascii="Calibri" w:eastAsia="Calibri" w:hAnsi="Calibri"/>
          <w:bCs/>
          <w:sz w:val="22"/>
          <w:szCs w:val="20"/>
          <w:lang w:val="en-US" w:eastAsia="en-US"/>
        </w:rPr>
        <w:t xml:space="preserve">“Agua para Todos” </w:t>
      </w:r>
      <w:r w:rsidR="00E25E18">
        <w:rPr>
          <w:rFonts w:ascii="Calibri" w:eastAsia="Calibri" w:hAnsi="Calibri"/>
          <w:bCs/>
          <w:sz w:val="22"/>
          <w:szCs w:val="20"/>
          <w:lang w:val="en-US" w:eastAsia="en-US"/>
        </w:rPr>
        <w:t xml:space="preserve">program has become one of the flagships of the current </w:t>
      </w:r>
      <w:r w:rsidR="006E51D3">
        <w:rPr>
          <w:rFonts w:ascii="Calibri" w:eastAsia="Calibri" w:hAnsi="Calibri"/>
          <w:bCs/>
          <w:sz w:val="22"/>
          <w:szCs w:val="20"/>
          <w:lang w:val="en-US" w:eastAsia="en-US"/>
        </w:rPr>
        <w:t>administration</w:t>
      </w:r>
      <w:r w:rsidR="00E25E18">
        <w:rPr>
          <w:rFonts w:ascii="Calibri" w:eastAsia="Calibri" w:hAnsi="Calibri"/>
          <w:bCs/>
          <w:sz w:val="22"/>
          <w:szCs w:val="20"/>
          <w:lang w:val="en-US" w:eastAsia="en-US"/>
        </w:rPr>
        <w:t>.</w:t>
      </w:r>
    </w:p>
    <w:p w:rsidR="007E61B0" w:rsidRDefault="007E61B0" w:rsidP="00423D7F">
      <w:pPr>
        <w:spacing w:line="276" w:lineRule="auto"/>
        <w:jc w:val="both"/>
        <w:rPr>
          <w:rFonts w:ascii="Calibri" w:eastAsia="Calibri" w:hAnsi="Calibri"/>
          <w:bCs/>
          <w:sz w:val="22"/>
          <w:szCs w:val="20"/>
          <w:lang w:val="en-US" w:eastAsia="en-US"/>
        </w:rPr>
      </w:pPr>
    </w:p>
    <w:p w:rsidR="009B73F0" w:rsidRPr="00166C2E" w:rsidRDefault="009B73F0" w:rsidP="00423D7F">
      <w:pPr>
        <w:spacing w:line="276" w:lineRule="auto"/>
        <w:jc w:val="both"/>
        <w:rPr>
          <w:rFonts w:ascii="Calibri" w:eastAsia="Calibri" w:hAnsi="Calibri"/>
          <w:bCs/>
          <w:sz w:val="22"/>
          <w:szCs w:val="20"/>
          <w:lang w:val="en-US" w:eastAsia="en-US"/>
        </w:rPr>
      </w:pPr>
      <w:r w:rsidRPr="00166C2E">
        <w:rPr>
          <w:rFonts w:ascii="Calibri" w:eastAsia="Calibri" w:hAnsi="Calibri"/>
          <w:bCs/>
          <w:sz w:val="22"/>
          <w:szCs w:val="20"/>
          <w:lang w:val="en-US" w:eastAsia="en-US"/>
        </w:rPr>
        <w:t xml:space="preserve">The purpose </w:t>
      </w:r>
      <w:r w:rsidR="00411A89">
        <w:rPr>
          <w:rFonts w:ascii="Calibri" w:eastAsia="Calibri" w:hAnsi="Calibri"/>
          <w:bCs/>
          <w:sz w:val="22"/>
          <w:szCs w:val="20"/>
          <w:lang w:val="en-US" w:eastAsia="en-US"/>
        </w:rPr>
        <w:t>o</w:t>
      </w:r>
      <w:r w:rsidRPr="00166C2E">
        <w:rPr>
          <w:rFonts w:ascii="Calibri" w:eastAsia="Calibri" w:hAnsi="Calibri"/>
          <w:bCs/>
          <w:sz w:val="22"/>
          <w:szCs w:val="20"/>
          <w:lang w:val="en-US" w:eastAsia="en-US"/>
        </w:rPr>
        <w:t xml:space="preserve">f this document is to </w:t>
      </w:r>
      <w:r w:rsidR="00C472D2">
        <w:rPr>
          <w:rFonts w:ascii="Calibri" w:eastAsia="Calibri" w:hAnsi="Calibri"/>
          <w:bCs/>
          <w:sz w:val="22"/>
          <w:szCs w:val="20"/>
          <w:lang w:val="en-US" w:eastAsia="en-US"/>
        </w:rPr>
        <w:t xml:space="preserve">have a </w:t>
      </w:r>
      <w:r w:rsidR="003E7C90" w:rsidRPr="00166C2E">
        <w:rPr>
          <w:rFonts w:ascii="Calibri" w:eastAsia="Calibri" w:hAnsi="Calibri"/>
          <w:bCs/>
          <w:sz w:val="22"/>
          <w:szCs w:val="20"/>
          <w:lang w:val="en-US" w:eastAsia="en-US"/>
        </w:rPr>
        <w:t xml:space="preserve">more comprehensive diagnosis of the </w:t>
      </w:r>
      <w:r w:rsidR="00540BFE" w:rsidRPr="00166C2E">
        <w:rPr>
          <w:rFonts w:ascii="Calibri" w:eastAsia="Calibri" w:hAnsi="Calibri"/>
          <w:bCs/>
          <w:sz w:val="22"/>
          <w:szCs w:val="20"/>
          <w:lang w:val="en-US" w:eastAsia="en-US"/>
        </w:rPr>
        <w:t xml:space="preserve">water and </w:t>
      </w:r>
      <w:r w:rsidR="003E7C90" w:rsidRPr="00166C2E">
        <w:rPr>
          <w:rFonts w:ascii="Calibri" w:eastAsia="Calibri" w:hAnsi="Calibri"/>
          <w:bCs/>
          <w:sz w:val="22"/>
          <w:szCs w:val="20"/>
          <w:lang w:val="en-US" w:eastAsia="en-US"/>
        </w:rPr>
        <w:t>sanitation sector</w:t>
      </w:r>
      <w:r w:rsidR="00C472D2" w:rsidRPr="00C472D2">
        <w:rPr>
          <w:rFonts w:ascii="Calibri" w:eastAsia="Calibri" w:hAnsi="Calibri"/>
          <w:bCs/>
          <w:sz w:val="22"/>
          <w:szCs w:val="20"/>
          <w:lang w:val="en-US" w:eastAsia="en-US"/>
        </w:rPr>
        <w:t xml:space="preserve"> </w:t>
      </w:r>
      <w:r w:rsidR="00C472D2">
        <w:rPr>
          <w:rFonts w:ascii="Calibri" w:eastAsia="Calibri" w:hAnsi="Calibri"/>
          <w:bCs/>
          <w:sz w:val="22"/>
          <w:szCs w:val="20"/>
          <w:lang w:val="en-US" w:eastAsia="en-US"/>
        </w:rPr>
        <w:t xml:space="preserve">using </w:t>
      </w:r>
      <w:r w:rsidR="00C472D2" w:rsidRPr="00166C2E">
        <w:rPr>
          <w:rFonts w:ascii="Calibri" w:eastAsia="Calibri" w:hAnsi="Calibri"/>
          <w:bCs/>
          <w:sz w:val="22"/>
          <w:szCs w:val="20"/>
          <w:lang w:val="en-US" w:eastAsia="en-US"/>
        </w:rPr>
        <w:t>two methodological procedures</w:t>
      </w:r>
      <w:r w:rsidR="00C472D2">
        <w:rPr>
          <w:rFonts w:ascii="Calibri" w:eastAsia="Calibri" w:hAnsi="Calibri"/>
          <w:bCs/>
          <w:sz w:val="22"/>
          <w:szCs w:val="20"/>
          <w:lang w:val="en-US" w:eastAsia="en-US"/>
        </w:rPr>
        <w:t xml:space="preserve"> linked to budget analysis</w:t>
      </w:r>
      <w:r w:rsidR="003E7C90" w:rsidRPr="00166C2E">
        <w:rPr>
          <w:rFonts w:ascii="Calibri" w:eastAsia="Calibri" w:hAnsi="Calibri"/>
          <w:bCs/>
          <w:sz w:val="22"/>
          <w:szCs w:val="20"/>
          <w:lang w:val="en-US" w:eastAsia="en-US"/>
        </w:rPr>
        <w:t>.</w:t>
      </w:r>
      <w:r w:rsidR="00540BFE" w:rsidRPr="00166C2E">
        <w:rPr>
          <w:rFonts w:ascii="Calibri" w:eastAsia="Calibri" w:hAnsi="Calibri"/>
          <w:bCs/>
          <w:sz w:val="22"/>
          <w:szCs w:val="20"/>
          <w:lang w:val="en-US" w:eastAsia="en-US"/>
        </w:rPr>
        <w:t xml:space="preserve"> T</w:t>
      </w:r>
      <w:r w:rsidR="003E7C90" w:rsidRPr="00166C2E">
        <w:rPr>
          <w:rFonts w:ascii="Calibri" w:eastAsia="Calibri" w:hAnsi="Calibri"/>
          <w:bCs/>
          <w:sz w:val="22"/>
          <w:szCs w:val="20"/>
          <w:lang w:val="en-US" w:eastAsia="en-US"/>
        </w:rPr>
        <w:t xml:space="preserve">he program budgeting analysis </w:t>
      </w:r>
      <w:r w:rsidR="00540BFE" w:rsidRPr="00166C2E">
        <w:rPr>
          <w:rFonts w:ascii="Calibri" w:eastAsia="Calibri" w:hAnsi="Calibri"/>
          <w:bCs/>
          <w:sz w:val="22"/>
          <w:szCs w:val="20"/>
          <w:lang w:val="en-US" w:eastAsia="en-US"/>
        </w:rPr>
        <w:t xml:space="preserve">is </w:t>
      </w:r>
      <w:r w:rsidR="002E72F6" w:rsidRPr="00166C2E">
        <w:rPr>
          <w:rFonts w:ascii="Calibri" w:eastAsia="Calibri" w:hAnsi="Calibri"/>
          <w:bCs/>
          <w:sz w:val="22"/>
          <w:szCs w:val="20"/>
          <w:lang w:val="en-US" w:eastAsia="en-US"/>
        </w:rPr>
        <w:t>a</w:t>
      </w:r>
      <w:r w:rsidR="00540BFE" w:rsidRPr="00166C2E">
        <w:rPr>
          <w:rFonts w:ascii="Calibri" w:eastAsia="Calibri" w:hAnsi="Calibri"/>
          <w:bCs/>
          <w:sz w:val="22"/>
          <w:szCs w:val="20"/>
          <w:lang w:val="en-US" w:eastAsia="en-US"/>
        </w:rPr>
        <w:t xml:space="preserve"> useful</w:t>
      </w:r>
      <w:r w:rsidR="002E72F6" w:rsidRPr="00166C2E">
        <w:rPr>
          <w:rFonts w:ascii="Calibri" w:eastAsia="Calibri" w:hAnsi="Calibri"/>
          <w:bCs/>
          <w:sz w:val="22"/>
          <w:szCs w:val="20"/>
          <w:lang w:val="en-US" w:eastAsia="en-US"/>
        </w:rPr>
        <w:t xml:space="preserve"> method</w:t>
      </w:r>
      <w:r w:rsidR="00C472D2">
        <w:rPr>
          <w:rFonts w:ascii="Calibri" w:eastAsia="Calibri" w:hAnsi="Calibri"/>
          <w:bCs/>
          <w:sz w:val="22"/>
          <w:szCs w:val="20"/>
          <w:lang w:val="en-US" w:eastAsia="en-US"/>
        </w:rPr>
        <w:t>ology</w:t>
      </w:r>
      <w:r w:rsidR="002E72F6" w:rsidRPr="00166C2E">
        <w:rPr>
          <w:rFonts w:ascii="Calibri" w:eastAsia="Calibri" w:hAnsi="Calibri"/>
          <w:bCs/>
          <w:sz w:val="22"/>
          <w:szCs w:val="20"/>
          <w:lang w:val="en-US" w:eastAsia="en-US"/>
        </w:rPr>
        <w:t xml:space="preserve"> to get a </w:t>
      </w:r>
      <w:r w:rsidR="00B55DC5" w:rsidRPr="00166C2E">
        <w:rPr>
          <w:rFonts w:ascii="Calibri" w:eastAsia="Calibri" w:hAnsi="Calibri"/>
          <w:bCs/>
          <w:sz w:val="22"/>
          <w:szCs w:val="20"/>
          <w:lang w:val="en-US" w:eastAsia="en-US"/>
        </w:rPr>
        <w:t xml:space="preserve">more detailed analysis </w:t>
      </w:r>
      <w:r w:rsidR="00933DAB" w:rsidRPr="00166C2E">
        <w:rPr>
          <w:rFonts w:ascii="Calibri" w:eastAsia="Calibri" w:hAnsi="Calibri"/>
          <w:bCs/>
          <w:sz w:val="22"/>
          <w:szCs w:val="20"/>
          <w:lang w:val="en-US" w:eastAsia="en-US"/>
        </w:rPr>
        <w:t>about the budget items</w:t>
      </w:r>
      <w:r w:rsidR="00D40494" w:rsidRPr="00166C2E">
        <w:rPr>
          <w:rFonts w:ascii="Calibri" w:eastAsia="Calibri" w:hAnsi="Calibri"/>
          <w:bCs/>
          <w:sz w:val="22"/>
          <w:szCs w:val="20"/>
          <w:lang w:val="en-US" w:eastAsia="en-US"/>
        </w:rPr>
        <w:t xml:space="preserve"> and the allocation of resources.</w:t>
      </w:r>
      <w:r w:rsidR="0074114A" w:rsidRPr="00166C2E">
        <w:rPr>
          <w:rFonts w:ascii="Calibri" w:eastAsia="Calibri" w:hAnsi="Calibri"/>
          <w:bCs/>
          <w:sz w:val="22"/>
          <w:szCs w:val="20"/>
          <w:lang w:val="en-US" w:eastAsia="en-US"/>
        </w:rPr>
        <w:t xml:space="preserve"> On the other hand, the benefit incidence analysis</w:t>
      </w:r>
      <w:r w:rsidR="00A51A6E" w:rsidRPr="00166C2E">
        <w:rPr>
          <w:rFonts w:ascii="Calibri" w:eastAsia="Calibri" w:hAnsi="Calibri"/>
          <w:bCs/>
          <w:sz w:val="22"/>
          <w:szCs w:val="20"/>
          <w:lang w:val="en-US" w:eastAsia="en-US"/>
        </w:rPr>
        <w:t xml:space="preserve"> </w:t>
      </w:r>
      <w:r w:rsidR="007A49BA">
        <w:rPr>
          <w:rFonts w:ascii="Calibri" w:eastAsia="Calibri" w:hAnsi="Calibri"/>
          <w:bCs/>
          <w:sz w:val="22"/>
          <w:szCs w:val="20"/>
          <w:lang w:val="en-US" w:eastAsia="en-US"/>
        </w:rPr>
        <w:t xml:space="preserve">shows </w:t>
      </w:r>
      <w:r w:rsidR="00411A89">
        <w:rPr>
          <w:rFonts w:ascii="Calibri" w:eastAsia="Calibri" w:hAnsi="Calibri"/>
          <w:bCs/>
          <w:sz w:val="22"/>
          <w:szCs w:val="20"/>
          <w:lang w:val="en-US" w:eastAsia="en-US"/>
        </w:rPr>
        <w:t>the value of</w:t>
      </w:r>
      <w:r w:rsidR="00A51A6E" w:rsidRPr="00166C2E">
        <w:rPr>
          <w:rFonts w:ascii="Calibri" w:eastAsia="Calibri" w:hAnsi="Calibri"/>
          <w:bCs/>
          <w:sz w:val="22"/>
          <w:szCs w:val="20"/>
          <w:lang w:val="en-US" w:eastAsia="en-US"/>
        </w:rPr>
        <w:t xml:space="preserve"> government subsidizes </w:t>
      </w:r>
      <w:r w:rsidR="00411A89">
        <w:rPr>
          <w:rFonts w:ascii="Calibri" w:eastAsia="Calibri" w:hAnsi="Calibri"/>
          <w:bCs/>
          <w:sz w:val="22"/>
          <w:szCs w:val="20"/>
          <w:lang w:val="en-US" w:eastAsia="en-US"/>
        </w:rPr>
        <w:t xml:space="preserve">in </w:t>
      </w:r>
      <w:r w:rsidR="00A51A6E" w:rsidRPr="00166C2E">
        <w:rPr>
          <w:rFonts w:ascii="Calibri" w:eastAsia="Calibri" w:hAnsi="Calibri"/>
          <w:bCs/>
          <w:sz w:val="22"/>
          <w:szCs w:val="20"/>
          <w:lang w:val="en-US" w:eastAsia="en-US"/>
        </w:rPr>
        <w:t xml:space="preserve">water </w:t>
      </w:r>
      <w:r w:rsidR="002962D7" w:rsidRPr="00166C2E">
        <w:rPr>
          <w:rFonts w:ascii="Calibri" w:eastAsia="Calibri" w:hAnsi="Calibri"/>
          <w:bCs/>
          <w:sz w:val="22"/>
          <w:szCs w:val="20"/>
          <w:lang w:val="en-US" w:eastAsia="en-US"/>
        </w:rPr>
        <w:t>services</w:t>
      </w:r>
      <w:r w:rsidR="00A51A6E" w:rsidRPr="00166C2E">
        <w:rPr>
          <w:rFonts w:ascii="Calibri" w:eastAsia="Calibri" w:hAnsi="Calibri"/>
          <w:bCs/>
          <w:sz w:val="22"/>
          <w:szCs w:val="20"/>
          <w:lang w:val="en-US" w:eastAsia="en-US"/>
        </w:rPr>
        <w:t xml:space="preserve"> in order to asse</w:t>
      </w:r>
      <w:r w:rsidR="00411A89">
        <w:rPr>
          <w:rFonts w:ascii="Calibri" w:eastAsia="Calibri" w:hAnsi="Calibri"/>
          <w:bCs/>
          <w:sz w:val="22"/>
          <w:szCs w:val="20"/>
          <w:lang w:val="en-US" w:eastAsia="en-US"/>
        </w:rPr>
        <w:t>ss</w:t>
      </w:r>
      <w:r w:rsidR="00A51A6E" w:rsidRPr="00166C2E">
        <w:rPr>
          <w:rFonts w:ascii="Calibri" w:eastAsia="Calibri" w:hAnsi="Calibri"/>
          <w:bCs/>
          <w:sz w:val="22"/>
          <w:szCs w:val="20"/>
          <w:lang w:val="en-US" w:eastAsia="en-US"/>
        </w:rPr>
        <w:t xml:space="preserve"> the real family burden </w:t>
      </w:r>
      <w:r w:rsidR="00A71E38">
        <w:rPr>
          <w:rFonts w:ascii="Calibri" w:eastAsia="Calibri" w:hAnsi="Calibri"/>
          <w:bCs/>
          <w:sz w:val="22"/>
          <w:szCs w:val="20"/>
          <w:lang w:val="en-US" w:eastAsia="en-US"/>
        </w:rPr>
        <w:t>by expenditure quintile</w:t>
      </w:r>
      <w:r w:rsidR="00A51A6E" w:rsidRPr="00166C2E">
        <w:rPr>
          <w:rFonts w:ascii="Calibri" w:eastAsia="Calibri" w:hAnsi="Calibri"/>
          <w:bCs/>
          <w:sz w:val="22"/>
          <w:szCs w:val="20"/>
          <w:lang w:val="en-US" w:eastAsia="en-US"/>
        </w:rPr>
        <w:t>.</w:t>
      </w:r>
    </w:p>
    <w:p w:rsidR="00540BFE" w:rsidRPr="00166C2E" w:rsidRDefault="00540BFE" w:rsidP="00423D7F">
      <w:pPr>
        <w:spacing w:line="276" w:lineRule="auto"/>
        <w:jc w:val="both"/>
        <w:rPr>
          <w:rFonts w:ascii="Calibri" w:eastAsia="Calibri" w:hAnsi="Calibri"/>
          <w:bCs/>
          <w:sz w:val="22"/>
          <w:szCs w:val="20"/>
          <w:lang w:val="en-US" w:eastAsia="en-US"/>
        </w:rPr>
      </w:pPr>
    </w:p>
    <w:p w:rsidR="00843CAA" w:rsidRPr="00C75AB5" w:rsidRDefault="00843CAA" w:rsidP="00423D7F">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The reminder of the study is organized as follows.</w:t>
      </w:r>
      <w:r w:rsidR="00281528">
        <w:rPr>
          <w:rFonts w:ascii="Calibri" w:eastAsia="Calibri" w:hAnsi="Calibri"/>
          <w:bCs/>
          <w:sz w:val="22"/>
          <w:szCs w:val="20"/>
          <w:lang w:val="en-US" w:eastAsia="en-US"/>
        </w:rPr>
        <w:t xml:space="preserve"> </w:t>
      </w:r>
      <w:r w:rsidR="00281528" w:rsidRPr="00281528">
        <w:rPr>
          <w:rFonts w:ascii="Calibri" w:eastAsia="Calibri" w:hAnsi="Calibri"/>
          <w:bCs/>
          <w:sz w:val="22"/>
          <w:szCs w:val="20"/>
          <w:lang w:val="en-US" w:eastAsia="en-US"/>
        </w:rPr>
        <w:t xml:space="preserve">Section 1 presents a general description of the </w:t>
      </w:r>
      <w:r w:rsidR="00281528">
        <w:rPr>
          <w:rFonts w:ascii="Calibri" w:eastAsia="Calibri" w:hAnsi="Calibri"/>
          <w:bCs/>
          <w:sz w:val="22"/>
          <w:szCs w:val="20"/>
          <w:lang w:val="en-US" w:eastAsia="en-US"/>
        </w:rPr>
        <w:t>sanitation</w:t>
      </w:r>
      <w:r w:rsidR="00281528" w:rsidRPr="00281528">
        <w:rPr>
          <w:rFonts w:ascii="Calibri" w:eastAsia="Calibri" w:hAnsi="Calibri"/>
          <w:bCs/>
          <w:sz w:val="22"/>
          <w:szCs w:val="20"/>
          <w:lang w:val="en-US" w:eastAsia="en-US"/>
        </w:rPr>
        <w:t xml:space="preserve"> sector,</w:t>
      </w:r>
      <w:r w:rsidR="00952D0E">
        <w:rPr>
          <w:rFonts w:ascii="Calibri" w:eastAsia="Calibri" w:hAnsi="Calibri"/>
          <w:bCs/>
          <w:sz w:val="22"/>
          <w:szCs w:val="20"/>
          <w:lang w:val="en-US" w:eastAsia="en-US"/>
        </w:rPr>
        <w:t xml:space="preserve"> including a description of the sector organization and some of the main indicators about the water and sanitation service</w:t>
      </w:r>
      <w:r w:rsidR="00C472D2">
        <w:rPr>
          <w:rFonts w:ascii="Calibri" w:eastAsia="Calibri" w:hAnsi="Calibri"/>
          <w:bCs/>
          <w:sz w:val="22"/>
          <w:szCs w:val="20"/>
          <w:lang w:val="en-US" w:eastAsia="en-US"/>
        </w:rPr>
        <w:t>s</w:t>
      </w:r>
      <w:r w:rsidR="00952D0E">
        <w:rPr>
          <w:rFonts w:ascii="Calibri" w:eastAsia="Calibri" w:hAnsi="Calibri"/>
          <w:bCs/>
          <w:sz w:val="22"/>
          <w:szCs w:val="20"/>
          <w:lang w:val="en-US" w:eastAsia="en-US"/>
        </w:rPr>
        <w:t>.</w:t>
      </w:r>
      <w:r w:rsidR="00C75AB5">
        <w:rPr>
          <w:rFonts w:ascii="Calibri" w:eastAsia="Calibri" w:hAnsi="Calibri"/>
          <w:bCs/>
          <w:sz w:val="22"/>
          <w:szCs w:val="20"/>
          <w:lang w:val="en-US" w:eastAsia="en-US"/>
        </w:rPr>
        <w:t xml:space="preserve"> </w:t>
      </w:r>
      <w:r w:rsidR="00C75AB5" w:rsidRPr="00C75AB5">
        <w:rPr>
          <w:rFonts w:ascii="Calibri" w:eastAsia="Calibri" w:hAnsi="Calibri"/>
          <w:bCs/>
          <w:sz w:val="22"/>
          <w:szCs w:val="20"/>
          <w:lang w:val="en-US" w:eastAsia="en-US"/>
        </w:rPr>
        <w:t xml:space="preserve">Section 2 contains information on the Program Budgeting Analysis. Section 3 presents the Benefit Incidence Analysis. </w:t>
      </w:r>
      <w:r w:rsidR="00C75AB5">
        <w:rPr>
          <w:rFonts w:ascii="Calibri" w:eastAsia="Calibri" w:hAnsi="Calibri"/>
          <w:bCs/>
          <w:sz w:val="22"/>
          <w:szCs w:val="20"/>
          <w:lang w:val="en-US" w:eastAsia="en-US"/>
        </w:rPr>
        <w:t>Both second and third sections</w:t>
      </w:r>
      <w:r w:rsidR="00045BA7">
        <w:rPr>
          <w:rFonts w:ascii="Calibri" w:eastAsia="Calibri" w:hAnsi="Calibri"/>
          <w:bCs/>
          <w:sz w:val="22"/>
          <w:szCs w:val="20"/>
          <w:lang w:val="en-US" w:eastAsia="en-US"/>
        </w:rPr>
        <w:t xml:space="preserve"> include the methodology, results, discussion and assumptions made.</w:t>
      </w:r>
      <w:r w:rsidR="00C75AB5" w:rsidRPr="00C75AB5">
        <w:rPr>
          <w:rFonts w:ascii="Calibri" w:eastAsia="Calibri" w:hAnsi="Calibri"/>
          <w:bCs/>
          <w:sz w:val="22"/>
          <w:szCs w:val="20"/>
          <w:lang w:val="en-US" w:eastAsia="en-US"/>
        </w:rPr>
        <w:t xml:space="preserve"> </w:t>
      </w:r>
      <w:r w:rsidR="00C75AB5">
        <w:rPr>
          <w:rFonts w:ascii="Calibri" w:eastAsia="Calibri" w:hAnsi="Calibri"/>
          <w:bCs/>
          <w:sz w:val="22"/>
          <w:szCs w:val="20"/>
          <w:lang w:val="en-US" w:eastAsia="en-US"/>
        </w:rPr>
        <w:t xml:space="preserve">Section 4 concludes. </w:t>
      </w:r>
      <w:r w:rsidR="00C75AB5" w:rsidRPr="00C75AB5">
        <w:rPr>
          <w:rFonts w:ascii="Calibri" w:eastAsia="Calibri" w:hAnsi="Calibri"/>
          <w:bCs/>
          <w:sz w:val="22"/>
          <w:szCs w:val="20"/>
          <w:lang w:val="en-US" w:eastAsia="en-US"/>
        </w:rPr>
        <w:t xml:space="preserve">Finally, the document ends with the challenges, the possible extensions </w:t>
      </w:r>
      <w:r w:rsidR="00F8042E">
        <w:rPr>
          <w:rFonts w:ascii="Calibri" w:eastAsia="Calibri" w:hAnsi="Calibri"/>
          <w:bCs/>
          <w:sz w:val="22"/>
          <w:szCs w:val="20"/>
          <w:lang w:val="en-US" w:eastAsia="en-US"/>
        </w:rPr>
        <w:t>and the dissemination</w:t>
      </w:r>
      <w:r w:rsidR="00C75AB5" w:rsidRPr="00C75AB5">
        <w:rPr>
          <w:rFonts w:ascii="Calibri" w:eastAsia="Calibri" w:hAnsi="Calibri"/>
          <w:bCs/>
          <w:sz w:val="22"/>
          <w:szCs w:val="20"/>
          <w:lang w:val="en-US" w:eastAsia="en-US"/>
        </w:rPr>
        <w:t xml:space="preserve"> plans.</w:t>
      </w:r>
    </w:p>
    <w:p w:rsidR="00DD4C28" w:rsidRPr="00843CAA" w:rsidRDefault="009E5492" w:rsidP="00423D7F">
      <w:pPr>
        <w:spacing w:line="276" w:lineRule="auto"/>
        <w:jc w:val="both"/>
        <w:rPr>
          <w:sz w:val="16"/>
          <w:szCs w:val="16"/>
          <w:lang w:val="en-US"/>
        </w:rPr>
      </w:pPr>
      <w:r w:rsidRPr="00843CAA">
        <w:rPr>
          <w:rFonts w:ascii="Calibri" w:eastAsia="Calibri" w:hAnsi="Calibri"/>
          <w:bCs/>
          <w:sz w:val="22"/>
          <w:szCs w:val="20"/>
          <w:lang w:val="en-US" w:eastAsia="en-US"/>
        </w:rPr>
        <w:br w:type="page"/>
      </w:r>
    </w:p>
    <w:p w:rsidR="009A0AE0" w:rsidRPr="00593C08" w:rsidRDefault="00965157" w:rsidP="00A4718F">
      <w:pPr>
        <w:pStyle w:val="Graciela1"/>
        <w:spacing w:before="0"/>
        <w:rPr>
          <w:rStyle w:val="nfasissutil"/>
          <w:color w:val="C6D9F1"/>
        </w:rPr>
      </w:pPr>
      <w:bookmarkStart w:id="2" w:name="_Toc245908063"/>
      <w:bookmarkStart w:id="3" w:name="_Toc246146215"/>
      <w:bookmarkStart w:id="4" w:name="_Toc254912248"/>
      <w:r w:rsidRPr="00593C08">
        <w:rPr>
          <w:rStyle w:val="nfasissutil"/>
          <w:color w:val="C6D9F1"/>
        </w:rPr>
        <w:lastRenderedPageBreak/>
        <w:t xml:space="preserve">I. </w:t>
      </w:r>
      <w:r w:rsidR="009A0AE0" w:rsidRPr="00593C08">
        <w:rPr>
          <w:rStyle w:val="nfasissutil"/>
          <w:color w:val="C6D9F1"/>
        </w:rPr>
        <w:t xml:space="preserve">General Description of the </w:t>
      </w:r>
      <w:r w:rsidR="00EB1DF0">
        <w:rPr>
          <w:rStyle w:val="nfasissutil"/>
          <w:color w:val="C6D9F1"/>
        </w:rPr>
        <w:t xml:space="preserve">Water and </w:t>
      </w:r>
      <w:r w:rsidR="00E77862" w:rsidRPr="00593C08">
        <w:rPr>
          <w:rStyle w:val="nfasissutil"/>
          <w:color w:val="C6D9F1"/>
        </w:rPr>
        <w:t xml:space="preserve">Sanitation </w:t>
      </w:r>
      <w:r w:rsidR="009A0AE0" w:rsidRPr="00593C08">
        <w:rPr>
          <w:rStyle w:val="nfasissutil"/>
          <w:color w:val="C6D9F1"/>
        </w:rPr>
        <w:t>Sector</w:t>
      </w:r>
      <w:bookmarkEnd w:id="2"/>
      <w:bookmarkEnd w:id="3"/>
      <w:bookmarkEnd w:id="4"/>
      <w:r w:rsidR="009A0AE0" w:rsidRPr="00593C08">
        <w:rPr>
          <w:rStyle w:val="nfasissutil"/>
          <w:color w:val="C6D9F1"/>
        </w:rPr>
        <w:t xml:space="preserve"> </w:t>
      </w:r>
    </w:p>
    <w:p w:rsidR="002000A7" w:rsidRDefault="002000A7" w:rsidP="0045515D">
      <w:pPr>
        <w:spacing w:line="360" w:lineRule="auto"/>
        <w:rPr>
          <w:rFonts w:ascii="Arial" w:hAnsi="Arial" w:cs="Arial"/>
          <w:sz w:val="28"/>
          <w:szCs w:val="28"/>
          <w:lang w:val="en-US"/>
        </w:rPr>
      </w:pPr>
    </w:p>
    <w:p w:rsidR="00486F83" w:rsidRPr="00486F83" w:rsidRDefault="00486F83" w:rsidP="00187447">
      <w:pPr>
        <w:pStyle w:val="Ttulo2"/>
        <w:numPr>
          <w:ilvl w:val="0"/>
          <w:numId w:val="15"/>
        </w:numPr>
        <w:spacing w:before="0"/>
        <w:rPr>
          <w:rStyle w:val="nfasisintenso"/>
        </w:rPr>
      </w:pPr>
      <w:bookmarkStart w:id="5" w:name="_Toc254912249"/>
      <w:r w:rsidRPr="00486F83">
        <w:rPr>
          <w:rStyle w:val="nfasisintenso"/>
        </w:rPr>
        <w:t>Sector Organization</w:t>
      </w:r>
      <w:bookmarkEnd w:id="5"/>
      <w:r w:rsidRPr="00486F83">
        <w:rPr>
          <w:rStyle w:val="nfasisintenso"/>
        </w:rPr>
        <w:t xml:space="preserve"> </w:t>
      </w:r>
    </w:p>
    <w:p w:rsidR="00486F83" w:rsidRDefault="00486F83" w:rsidP="0088722D">
      <w:pPr>
        <w:spacing w:line="276" w:lineRule="auto"/>
        <w:jc w:val="both"/>
        <w:rPr>
          <w:rFonts w:ascii="Calibri" w:eastAsia="Calibri" w:hAnsi="Calibri"/>
          <w:bCs/>
          <w:sz w:val="22"/>
          <w:szCs w:val="20"/>
          <w:lang w:val="en-US" w:eastAsia="en-US"/>
        </w:rPr>
      </w:pPr>
    </w:p>
    <w:p w:rsidR="002000A7" w:rsidRPr="00C472D2" w:rsidRDefault="002000A7" w:rsidP="0088722D">
      <w:pPr>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The structure of this sector has gone under several legal and administrative changes throughout the decades. </w:t>
      </w:r>
      <w:r w:rsidRPr="00C472D2">
        <w:rPr>
          <w:rFonts w:ascii="Calibri" w:eastAsia="Calibri" w:hAnsi="Calibri"/>
          <w:bCs/>
          <w:sz w:val="22"/>
          <w:szCs w:val="20"/>
          <w:lang w:val="en-US" w:eastAsia="en-US"/>
        </w:rPr>
        <w:t>It now involves five government departments and many other agencies. The following figure gives a broad perspective of the most important</w:t>
      </w:r>
      <w:r w:rsidR="000A33A9" w:rsidRPr="00C472D2">
        <w:rPr>
          <w:rFonts w:ascii="Calibri" w:eastAsia="Calibri" w:hAnsi="Calibri"/>
          <w:bCs/>
          <w:sz w:val="22"/>
          <w:szCs w:val="20"/>
          <w:lang w:val="en-US" w:eastAsia="en-US"/>
        </w:rPr>
        <w:t xml:space="preserve"> ones</w:t>
      </w:r>
      <w:r w:rsidRPr="00C472D2">
        <w:rPr>
          <w:rFonts w:ascii="Calibri" w:eastAsia="Calibri" w:hAnsi="Calibri"/>
          <w:bCs/>
          <w:sz w:val="22"/>
          <w:szCs w:val="20"/>
          <w:lang w:val="en-US" w:eastAsia="en-US"/>
        </w:rPr>
        <w:t>:</w:t>
      </w:r>
    </w:p>
    <w:p w:rsidR="00486F83" w:rsidRDefault="00486F83" w:rsidP="0088722D">
      <w:pPr>
        <w:pStyle w:val="Epgrafe"/>
        <w:jc w:val="center"/>
        <w:rPr>
          <w:rFonts w:ascii="Calibri" w:eastAsia="Calibri" w:hAnsi="Calibri"/>
          <w:color w:val="4F81BD"/>
          <w:sz w:val="22"/>
          <w:szCs w:val="22"/>
          <w:lang w:val="en-US" w:eastAsia="en-US"/>
        </w:rPr>
      </w:pPr>
    </w:p>
    <w:p w:rsidR="00620D3D" w:rsidRPr="00E77862" w:rsidRDefault="0088722D" w:rsidP="0088722D">
      <w:pPr>
        <w:pStyle w:val="Epgrafe"/>
        <w:jc w:val="center"/>
        <w:rPr>
          <w:rFonts w:ascii="Calibri" w:eastAsia="Calibri" w:hAnsi="Calibri"/>
          <w:color w:val="4F81BD"/>
          <w:sz w:val="22"/>
          <w:szCs w:val="22"/>
          <w:lang w:val="en-US" w:eastAsia="en-US"/>
        </w:rPr>
      </w:pPr>
      <w:r w:rsidRPr="00E77862">
        <w:rPr>
          <w:rFonts w:ascii="Calibri" w:eastAsia="Calibri" w:hAnsi="Calibri"/>
          <w:color w:val="4F81BD"/>
          <w:sz w:val="22"/>
          <w:szCs w:val="22"/>
          <w:lang w:val="en-US" w:eastAsia="en-US"/>
        </w:rPr>
        <w:t xml:space="preserve">Figure </w:t>
      </w:r>
      <w:r w:rsidR="00DD7CFF" w:rsidRPr="00E77862">
        <w:rPr>
          <w:rFonts w:ascii="Calibri" w:eastAsia="Calibri" w:hAnsi="Calibri"/>
          <w:color w:val="4F81BD"/>
          <w:sz w:val="22"/>
          <w:szCs w:val="22"/>
          <w:lang w:val="en-US" w:eastAsia="en-US"/>
        </w:rPr>
        <w:fldChar w:fldCharType="begin"/>
      </w:r>
      <w:r w:rsidRPr="00E77862">
        <w:rPr>
          <w:rFonts w:ascii="Calibri" w:eastAsia="Calibri" w:hAnsi="Calibri"/>
          <w:color w:val="4F81BD"/>
          <w:sz w:val="22"/>
          <w:szCs w:val="22"/>
          <w:lang w:val="en-US" w:eastAsia="en-US"/>
        </w:rPr>
        <w:instrText xml:space="preserve"> SEQ Figure \* ARABIC </w:instrText>
      </w:r>
      <w:r w:rsidR="00DD7CFF" w:rsidRPr="00E77862">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1</w:t>
      </w:r>
      <w:r w:rsidR="00DD7CFF" w:rsidRPr="00E77862">
        <w:rPr>
          <w:rFonts w:ascii="Calibri" w:eastAsia="Calibri" w:hAnsi="Calibri"/>
          <w:color w:val="4F81BD"/>
          <w:sz w:val="22"/>
          <w:szCs w:val="22"/>
          <w:lang w:val="en-US" w:eastAsia="en-US"/>
        </w:rPr>
        <w:fldChar w:fldCharType="end"/>
      </w:r>
      <w:r w:rsidR="009028E2" w:rsidRPr="00E77862">
        <w:rPr>
          <w:rFonts w:ascii="Calibri" w:eastAsia="Calibri" w:hAnsi="Calibri"/>
          <w:color w:val="4F81BD"/>
          <w:sz w:val="22"/>
          <w:szCs w:val="22"/>
          <w:lang w:val="en-US" w:eastAsia="en-US"/>
        </w:rPr>
        <w:t xml:space="preserve">: </w:t>
      </w:r>
      <w:r w:rsidR="00620D3D" w:rsidRPr="00E77862">
        <w:rPr>
          <w:rFonts w:ascii="Calibri" w:eastAsia="Calibri" w:hAnsi="Calibri"/>
          <w:color w:val="4F81BD"/>
          <w:sz w:val="22"/>
          <w:szCs w:val="22"/>
          <w:lang w:val="en-US" w:eastAsia="en-US"/>
        </w:rPr>
        <w:t>Structure of the Sanitation Sector</w:t>
      </w:r>
    </w:p>
    <w:p w:rsidR="0088722D" w:rsidRPr="0088722D" w:rsidRDefault="0088722D" w:rsidP="0088722D">
      <w:pPr>
        <w:rPr>
          <w:lang w:val="en-US" w:eastAsia="en-US"/>
        </w:rPr>
      </w:pPr>
    </w:p>
    <w:p w:rsidR="002000A7" w:rsidRPr="0088722D" w:rsidRDefault="00DD7CFF" w:rsidP="0088722D">
      <w:pPr>
        <w:spacing w:line="276" w:lineRule="auto"/>
        <w:jc w:val="both"/>
        <w:rPr>
          <w:rFonts w:ascii="Calibri" w:eastAsia="Calibri" w:hAnsi="Calibri"/>
          <w:bCs/>
          <w:sz w:val="22"/>
          <w:szCs w:val="20"/>
          <w:lang w:val="es-PE" w:eastAsia="en-US"/>
        </w:rPr>
      </w:pPr>
      <w:r>
        <w:rPr>
          <w:rFonts w:ascii="Calibri" w:eastAsia="Calibri" w:hAnsi="Calibri"/>
          <w:bCs/>
          <w:sz w:val="22"/>
          <w:szCs w:val="20"/>
          <w:lang w:val="es-PE" w:eastAsia="en-US"/>
        </w:rPr>
      </w:r>
      <w:r>
        <w:rPr>
          <w:rFonts w:ascii="Calibri" w:eastAsia="Calibri" w:hAnsi="Calibri"/>
          <w:bCs/>
          <w:sz w:val="22"/>
          <w:szCs w:val="20"/>
          <w:lang w:val="es-PE" w:eastAsia="en-US"/>
        </w:rPr>
        <w:pict>
          <v:group id="_x0000_s1110" editas="canvas" style="width:425.2pt;height:339.9pt;mso-position-horizontal-relative:char;mso-position-vertical-relative:line" coordorigin="2380,4583" coordsize="8838,71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2380;top:4583;width:8838;height:7174" o:preferrelative="f">
              <v:fill o:detectmouseclick="t"/>
              <v:path o:extrusionok="t" o:connecttype="none"/>
              <o:lock v:ext="edit" text="t"/>
            </v:shape>
            <v:shape id="Picture 2" o:spid="_x0000_s1083" type="#_x0000_t75" alt="http://www.sunass.gob.pe/imagenes/estructura.png" style="position:absolute;left:2380;top:4583;width:8838;height:7174;visibility:visible">
              <v:imagedata r:id="rId9" o:title="estructura"/>
            </v:shape>
            <v:shapetype id="_x0000_t202" coordsize="21600,21600" o:spt="202" path="m,l,21600r21600,l21600,xe">
              <v:stroke joinstyle="miter"/>
              <v:path gradientshapeok="t" o:connecttype="rect"/>
            </v:shapetype>
            <v:shape id="_x0000_s1084" type="#_x0000_t202" style="position:absolute;left:5583;top:4609;width:1950;height:437;mso-wrap-style:tight">
              <v:textbox style="mso-next-textbox:#_x0000_s1084;mso-direction-alt:auto" inset="2.05739mm,1.0287mm,2.05739mm,1.0287mm">
                <w:txbxContent>
                  <w:p w:rsidR="00B179C9" w:rsidRPr="00AE1E7C" w:rsidRDefault="00B179C9" w:rsidP="00D23BCB">
                    <w:pPr>
                      <w:jc w:val="center"/>
                      <w:rPr>
                        <w:sz w:val="19"/>
                      </w:rPr>
                    </w:pPr>
                    <w:r w:rsidRPr="00AE1E7C">
                      <w:rPr>
                        <w:sz w:val="19"/>
                      </w:rPr>
                      <w:t>Executive Power</w:t>
                    </w:r>
                  </w:p>
                </w:txbxContent>
              </v:textbox>
            </v:shape>
            <v:shape id="_x0000_s1085" type="#_x0000_t202" style="position:absolute;left:8787;top:4583;width:2279;height:424;mso-wrap-style:tight">
              <v:textbox style="mso-next-textbox:#_x0000_s1085;mso-direction-alt:auto" inset="2.05739mm,1.0287mm,2.05739mm,1.0287mm">
                <w:txbxContent>
                  <w:p w:rsidR="00B179C9" w:rsidRPr="00AE1E7C" w:rsidRDefault="00B179C9" w:rsidP="006971C5">
                    <w:pPr>
                      <w:jc w:val="center"/>
                      <w:rPr>
                        <w:sz w:val="19"/>
                      </w:rPr>
                    </w:pPr>
                    <w:r w:rsidRPr="00AE1E7C">
                      <w:rPr>
                        <w:sz w:val="19"/>
                      </w:rPr>
                      <w:t>Local Governments</w:t>
                    </w:r>
                  </w:p>
                </w:txbxContent>
              </v:textbox>
            </v:shape>
            <v:shape id="_x0000_s1086" type="#_x0000_t202" style="position:absolute;left:5875;top:5329;width:1392;height:745;mso-wrap-style:tight">
              <v:textbox style="mso-next-textbox:#_x0000_s1086;mso-direction-alt:auto" inset="2.05739mm,1.0287mm,2.05739mm,1.0287mm">
                <w:txbxContent>
                  <w:p w:rsidR="00B179C9" w:rsidRPr="00AE1E7C" w:rsidRDefault="00B179C9" w:rsidP="00D23BCB">
                    <w:pPr>
                      <w:jc w:val="center"/>
                      <w:rPr>
                        <w:sz w:val="19"/>
                      </w:rPr>
                    </w:pPr>
                    <w:r w:rsidRPr="00AE1E7C">
                      <w:rPr>
                        <w:sz w:val="19"/>
                      </w:rPr>
                      <w:t>National Government</w:t>
                    </w:r>
                  </w:p>
                </w:txbxContent>
              </v:textbox>
            </v:shape>
            <v:shape id="_x0000_s1087" type="#_x0000_t202" style="position:absolute;left:9125;top:5153;width:1600;height:950">
              <v:textbox style="mso-next-textbox:#_x0000_s1087;mso-direction-alt:auto" inset="2.05739mm,1.0287mm,2.05739mm,1.0287mm">
                <w:txbxContent>
                  <w:p w:rsidR="00B179C9" w:rsidRPr="00AE1E7C" w:rsidRDefault="00B179C9" w:rsidP="00D23BCB">
                    <w:pPr>
                      <w:jc w:val="center"/>
                      <w:rPr>
                        <w:sz w:val="19"/>
                      </w:rPr>
                    </w:pPr>
                    <w:r w:rsidRPr="00AE1E7C">
                      <w:rPr>
                        <w:sz w:val="19"/>
                      </w:rPr>
                      <w:t>Provincial and District Municipalities</w:t>
                    </w:r>
                  </w:p>
                </w:txbxContent>
              </v:textbox>
            </v:shape>
            <v:shape id="_x0000_s1088" type="#_x0000_t202" style="position:absolute;left:9811;top:6293;width:1306;height:569">
              <v:textbox style="mso-next-textbox:#_x0000_s1088;mso-direction-alt:auto" inset="2.05739mm,1.0287mm,2.05739mm,1.0287mm">
                <w:txbxContent>
                  <w:p w:rsidR="00B179C9" w:rsidRPr="00AE1E7C" w:rsidRDefault="00B179C9" w:rsidP="00D23BCB">
                    <w:pPr>
                      <w:jc w:val="center"/>
                      <w:rPr>
                        <w:sz w:val="19"/>
                      </w:rPr>
                    </w:pPr>
                    <w:r>
                      <w:rPr>
                        <w:sz w:val="19"/>
                      </w:rPr>
                      <w:t>Municipal Counc</w:t>
                    </w:r>
                    <w:r w:rsidRPr="00AE1E7C">
                      <w:rPr>
                        <w:sz w:val="19"/>
                      </w:rPr>
                      <w:t>il</w:t>
                    </w:r>
                  </w:p>
                </w:txbxContent>
              </v:textbox>
            </v:shape>
            <v:shape id="_x0000_s1089" type="#_x0000_t202" style="position:absolute;left:8439;top:6383;width:1234;height:479">
              <v:textbox style="mso-next-textbox:#_x0000_s1089;mso-direction-alt:auto" inset="2.05739mm,1.0287mm,2.05739mm,1.0287mm">
                <w:txbxContent>
                  <w:p w:rsidR="00B179C9" w:rsidRPr="00AE1E7C" w:rsidRDefault="00B179C9" w:rsidP="00D23BCB">
                    <w:pPr>
                      <w:rPr>
                        <w:sz w:val="19"/>
                      </w:rPr>
                    </w:pPr>
                    <w:r w:rsidRPr="00AE1E7C">
                      <w:rPr>
                        <w:sz w:val="19"/>
                      </w:rPr>
                      <w:t>Town Hall</w:t>
                    </w:r>
                    <w:r>
                      <w:rPr>
                        <w:sz w:val="19"/>
                      </w:rPr>
                      <w:t>s</w:t>
                    </w:r>
                  </w:p>
                </w:txbxContent>
              </v:textbox>
            </v:shape>
            <v:shape id="_x0000_s1090" type="#_x0000_t202" style="position:absolute;left:10243;top:7013;width:608;height:321;mso-wrap-style:tight">
              <v:textbox style="mso-next-textbox:#_x0000_s1090;mso-direction-alt:auto" inset="2.05739mm,1.0287mm,2.05739mm,1.0287mm">
                <w:txbxContent>
                  <w:p w:rsidR="00B179C9" w:rsidRPr="00AE1E7C" w:rsidRDefault="00B179C9" w:rsidP="00D23BCB">
                    <w:pPr>
                      <w:rPr>
                        <w:sz w:val="19"/>
                      </w:rPr>
                    </w:pPr>
                    <w:r w:rsidRPr="00AE1E7C">
                      <w:rPr>
                        <w:sz w:val="19"/>
                      </w:rPr>
                      <w:t>EPS</w:t>
                    </w:r>
                  </w:p>
                </w:txbxContent>
              </v:textbox>
            </v:shape>
            <v:shape id="_x0000_s1091" type="#_x0000_t202" style="position:absolute;left:7867;top:7026;width:1301;height:398">
              <v:textbox style="mso-next-textbox:#_x0000_s1091;mso-direction-alt:auto" inset="2.05739mm,1.0287mm,2.05739mm,1.0287mm">
                <w:txbxContent>
                  <w:p w:rsidR="00B179C9" w:rsidRPr="00AE1E7C" w:rsidRDefault="00B179C9" w:rsidP="00D23BCB">
                    <w:pPr>
                      <w:rPr>
                        <w:sz w:val="19"/>
                      </w:rPr>
                    </w:pPr>
                    <w:r w:rsidRPr="00AE1E7C">
                      <w:rPr>
                        <w:sz w:val="19"/>
                      </w:rPr>
                      <w:t>INVERSAN</w:t>
                    </w:r>
                  </w:p>
                </w:txbxContent>
              </v:textbox>
            </v:shape>
            <v:shape id="_x0000_s1092" type="#_x0000_t202" style="position:absolute;left:5470;top:6550;width:2190;height:746;mso-wrap-style:tight">
              <v:textbox style="mso-next-textbox:#_x0000_s1092;mso-direction-alt:auto" inset="2.05739mm,1.0287mm,2.05739mm,1.0287mm">
                <w:txbxContent>
                  <w:p w:rsidR="00B179C9" w:rsidRPr="00AE1E7C" w:rsidRDefault="00B179C9" w:rsidP="00D23BCB">
                    <w:pPr>
                      <w:autoSpaceDE w:val="0"/>
                      <w:autoSpaceDN w:val="0"/>
                      <w:adjustRightInd w:val="0"/>
                      <w:jc w:val="center"/>
                      <w:rPr>
                        <w:sz w:val="19"/>
                      </w:rPr>
                    </w:pPr>
                    <w:r w:rsidRPr="00AE1E7C">
                      <w:rPr>
                        <w:sz w:val="19"/>
                      </w:rPr>
                      <w:t>Cabinet</w:t>
                    </w:r>
                  </w:p>
                  <w:p w:rsidR="00B179C9" w:rsidRPr="00AE1E7C" w:rsidRDefault="00B179C9" w:rsidP="00D23BCB">
                    <w:pPr>
                      <w:jc w:val="center"/>
                      <w:rPr>
                        <w:sz w:val="19"/>
                      </w:rPr>
                    </w:pPr>
                    <w:r w:rsidRPr="00AE1E7C">
                      <w:rPr>
                        <w:sz w:val="19"/>
                      </w:rPr>
                      <w:t>Council</w:t>
                    </w:r>
                  </w:p>
                </w:txbxContent>
              </v:textbox>
            </v:shape>
            <v:shape id="_x0000_s1095" type="#_x0000_t202" style="position:absolute;left:6444;top:9134;width:1115;height:335;mso-wrap-style:tight">
              <v:textbox style="mso-next-textbox:#_x0000_s1095;mso-direction-alt:auto" inset="2.05739mm,1.0287mm,2.05739mm,1.0287mm">
                <w:txbxContent>
                  <w:p w:rsidR="00B179C9" w:rsidRPr="00AE1E7C" w:rsidRDefault="00B179C9" w:rsidP="00D23BCB">
                    <w:pPr>
                      <w:rPr>
                        <w:sz w:val="19"/>
                      </w:rPr>
                    </w:pPr>
                    <w:r w:rsidRPr="00AE1E7C">
                      <w:rPr>
                        <w:sz w:val="19"/>
                      </w:rPr>
                      <w:t>DIGESA</w:t>
                    </w:r>
                  </w:p>
                </w:txbxContent>
              </v:textbox>
            </v:shape>
            <v:shape id="_x0000_s1096" type="#_x0000_t202" style="position:absolute;left:4666;top:8952;width:1487;height:570">
              <v:textbox style="mso-next-textbox:#_x0000_s1096;mso-direction-alt:auto" inset="2.05739mm,1.0287mm,2.05739mm,1.0287mm">
                <w:txbxContent>
                  <w:p w:rsidR="00B179C9" w:rsidRPr="00D23BCB" w:rsidRDefault="00B179C9" w:rsidP="00D23BCB">
                    <w:pPr>
                      <w:rPr>
                        <w:sz w:val="18"/>
                        <w:szCs w:val="18"/>
                      </w:rPr>
                    </w:pPr>
                    <w:r>
                      <w:rPr>
                        <w:sz w:val="18"/>
                        <w:szCs w:val="18"/>
                      </w:rPr>
                      <w:t>Proinversión</w:t>
                    </w:r>
                  </w:p>
                </w:txbxContent>
              </v:textbox>
            </v:shape>
            <v:shape id="_x0000_s1097" type="#_x0000_t202" style="position:absolute;left:4862;top:10317;width:1145;height:322">
              <v:textbox style="mso-next-textbox:#_x0000_s1097;mso-direction-alt:auto" inset="2.05739mm,1.0287mm,2.05739mm,1.0287mm">
                <w:txbxContent>
                  <w:p w:rsidR="00B179C9" w:rsidRPr="00AE1E7C" w:rsidRDefault="00B179C9" w:rsidP="00D23BCB">
                    <w:pPr>
                      <w:rPr>
                        <w:sz w:val="19"/>
                      </w:rPr>
                    </w:pPr>
                    <w:r w:rsidRPr="00AE1E7C">
                      <w:rPr>
                        <w:sz w:val="19"/>
                      </w:rPr>
                      <w:t>FONAF</w:t>
                    </w:r>
                    <w:r>
                      <w:rPr>
                        <w:sz w:val="19"/>
                      </w:rPr>
                      <w:t>E</w:t>
                    </w:r>
                  </w:p>
                </w:txbxContent>
              </v:textbox>
            </v:shape>
            <v:shape id="_x0000_s1098" type="#_x0000_t202" style="position:absolute;left:9494;top:11217;width:1192;height:394">
              <v:textbox style="mso-next-textbox:#_x0000_s1098;mso-direction-alt:auto" inset="2.05739mm,1.0287mm,2.05739mm,1.0287mm">
                <w:txbxContent>
                  <w:p w:rsidR="00B179C9" w:rsidRPr="00AE1E7C" w:rsidRDefault="00B179C9" w:rsidP="00D23BCB">
                    <w:pPr>
                      <w:jc w:val="center"/>
                      <w:rPr>
                        <w:sz w:val="19"/>
                      </w:rPr>
                    </w:pPr>
                    <w:r w:rsidRPr="00AE1E7C">
                      <w:rPr>
                        <w:sz w:val="19"/>
                      </w:rPr>
                      <w:t>SEDAPAL</w:t>
                    </w:r>
                  </w:p>
                </w:txbxContent>
              </v:textbox>
            </v:shape>
            <v:shape id="_x0000_s1099" type="#_x0000_t202" style="position:absolute;left:3066;top:10091;width:1257;height:943">
              <v:textbox style="mso-next-textbox:#_x0000_s1099;mso-direction-alt:auto" inset="2.05739mm,1.0287mm,2.05739mm,1.0287mm">
                <w:txbxContent>
                  <w:p w:rsidR="00B179C9" w:rsidRPr="00AE1E7C" w:rsidRDefault="00B179C9" w:rsidP="00D23BCB">
                    <w:pPr>
                      <w:jc w:val="center"/>
                      <w:rPr>
                        <w:sz w:val="19"/>
                      </w:rPr>
                    </w:pPr>
                    <w:r>
                      <w:rPr>
                        <w:sz w:val="19"/>
                      </w:rPr>
                      <w:t>Hidrological Resources Intendent</w:t>
                    </w:r>
                  </w:p>
                </w:txbxContent>
              </v:textbox>
            </v:shape>
            <v:shape id="_x0000_s1102" type="#_x0000_t202" style="position:absolute;left:7867;top:8952;width:1426;height:1139">
              <v:textbox style="mso-next-textbox:#_x0000_s1102;mso-direction-alt:auto" inset="2.05739mm,1.0287mm,2.05739mm,1.0287mm">
                <w:txbxContent>
                  <w:p w:rsidR="00B179C9" w:rsidRPr="000A33A9" w:rsidRDefault="00B179C9" w:rsidP="00D23BCB">
                    <w:pPr>
                      <w:jc w:val="center"/>
                      <w:rPr>
                        <w:sz w:val="18"/>
                        <w:szCs w:val="18"/>
                      </w:rPr>
                    </w:pPr>
                    <w:r>
                      <w:rPr>
                        <w:sz w:val="18"/>
                        <w:szCs w:val="18"/>
                      </w:rPr>
                      <w:t>Industrial Enviromental Affairs Directorate</w:t>
                    </w:r>
                  </w:p>
                </w:txbxContent>
              </v:textbox>
            </v:shape>
            <v:shape id="_x0000_s1103" type="#_x0000_t202" style="position:absolute;left:2952;top:8002;width:1551;height:833">
              <v:textbox style="mso-next-textbox:#_x0000_s1103;mso-direction-alt:auto" inset="2.05739mm,1.0287mm,2.05739mm,1.0287mm">
                <w:txbxContent>
                  <w:p w:rsidR="00B179C9" w:rsidRPr="00AE1E7C" w:rsidRDefault="00B179C9" w:rsidP="00D23BCB">
                    <w:pPr>
                      <w:jc w:val="center"/>
                      <w:rPr>
                        <w:sz w:val="19"/>
                      </w:rPr>
                    </w:pPr>
                    <w:r>
                      <w:rPr>
                        <w:sz w:val="19"/>
                      </w:rPr>
                      <w:t>Ministry of Agriculture</w:t>
                    </w:r>
                  </w:p>
                </w:txbxContent>
              </v:textbox>
            </v:shape>
            <v:shape id="_x0000_s1104" type="#_x0000_t202" style="position:absolute;left:4608;top:8002;width:1520;height:833;mso-wrap-style:tight">
              <v:textbox style="mso-next-textbox:#_x0000_s1104;mso-direction-alt:auto" inset="2.05739mm,1.0287mm,2.05739mm,1.0287mm">
                <w:txbxContent>
                  <w:p w:rsidR="00B179C9" w:rsidRPr="00AE1E7C" w:rsidRDefault="00B179C9" w:rsidP="00D23BCB">
                    <w:pPr>
                      <w:jc w:val="center"/>
                      <w:rPr>
                        <w:sz w:val="19"/>
                      </w:rPr>
                    </w:pPr>
                    <w:r>
                      <w:rPr>
                        <w:sz w:val="19"/>
                      </w:rPr>
                      <w:t>Ministry of Economics and Finance</w:t>
                    </w:r>
                  </w:p>
                </w:txbxContent>
              </v:textbox>
            </v:shape>
            <v:shape id="_x0000_s1105" type="#_x0000_t202" style="position:absolute;left:6191;top:8002;width:1520;height:772;mso-wrap-style:tight">
              <v:textbox style="mso-next-textbox:#_x0000_s1105;mso-direction-alt:auto" inset="2.05739mm,1.0287mm,2.05739mm,1.0287mm">
                <w:txbxContent>
                  <w:p w:rsidR="00B179C9" w:rsidRPr="00AE1E7C" w:rsidRDefault="00B179C9" w:rsidP="00D23BCB">
                    <w:pPr>
                      <w:jc w:val="center"/>
                      <w:rPr>
                        <w:sz w:val="19"/>
                      </w:rPr>
                    </w:pPr>
                    <w:r>
                      <w:rPr>
                        <w:sz w:val="19"/>
                      </w:rPr>
                      <w:t>Ministry of Health</w:t>
                    </w:r>
                  </w:p>
                </w:txbxContent>
              </v:textbox>
            </v:shape>
            <v:shape id="_x0000_s1106" type="#_x0000_t202" style="position:absolute;left:7825;top:8002;width:1519;height:747;mso-wrap-style:tight">
              <v:textbox style="mso-next-textbox:#_x0000_s1106;mso-direction-alt:auto" inset="2.05739mm,1.0287mm,2.05739mm,1.0287mm">
                <w:txbxContent>
                  <w:p w:rsidR="00B179C9" w:rsidRPr="00AE1E7C" w:rsidRDefault="00B179C9" w:rsidP="00D23BCB">
                    <w:pPr>
                      <w:jc w:val="center"/>
                      <w:rPr>
                        <w:sz w:val="19"/>
                      </w:rPr>
                    </w:pPr>
                    <w:r>
                      <w:rPr>
                        <w:sz w:val="19"/>
                      </w:rPr>
                      <w:t>Ministry of Production</w:t>
                    </w:r>
                  </w:p>
                </w:txbxContent>
              </v:textbox>
            </v:shape>
            <v:shape id="_x0000_s1107" type="#_x0000_t202" style="position:absolute;left:9395;top:7812;width:1506;height:1155;mso-wrap-style:tight">
              <v:textbox style="mso-next-textbox:#_x0000_s1107;mso-direction-alt:auto" inset="2.05739mm,1.0287mm,2.05739mm,1.0287mm">
                <w:txbxContent>
                  <w:p w:rsidR="00B179C9" w:rsidRPr="00D23BCB" w:rsidRDefault="00B179C9" w:rsidP="00D23BCB">
                    <w:pPr>
                      <w:jc w:val="center"/>
                      <w:rPr>
                        <w:sz w:val="19"/>
                      </w:rPr>
                    </w:pPr>
                    <w:r w:rsidRPr="00D23BCB">
                      <w:rPr>
                        <w:sz w:val="19"/>
                      </w:rPr>
                      <w:t>Ministr</w:t>
                    </w:r>
                    <w:r>
                      <w:rPr>
                        <w:sz w:val="19"/>
                      </w:rPr>
                      <w:t>y of</w:t>
                    </w:r>
                    <w:r w:rsidRPr="00D23BCB">
                      <w:rPr>
                        <w:sz w:val="19"/>
                      </w:rPr>
                      <w:t xml:space="preserve"> </w:t>
                    </w:r>
                    <w:r>
                      <w:rPr>
                        <w:sz w:val="19"/>
                      </w:rPr>
                      <w:t>Public Works</w:t>
                    </w:r>
                  </w:p>
                </w:txbxContent>
              </v:textbox>
            </v:shape>
            <v:shape id="_x0000_s1108" type="#_x0000_t202" style="position:absolute;left:9357;top:9070;width:1620;height:831;mso-wrap-style:tight">
              <v:textbox style="mso-next-textbox:#_x0000_s1108;mso-direction-alt:auto" inset="2.05739mm,1.0287mm,2.05739mm,1.0287mm">
                <w:txbxContent>
                  <w:p w:rsidR="00B179C9" w:rsidRPr="00F8042E" w:rsidRDefault="00B179C9" w:rsidP="00D23BCB">
                    <w:pPr>
                      <w:jc w:val="center"/>
                      <w:rPr>
                        <w:sz w:val="19"/>
                        <w:lang w:val="en-US"/>
                      </w:rPr>
                    </w:pPr>
                    <w:r w:rsidRPr="00F8042E">
                      <w:rPr>
                        <w:sz w:val="19"/>
                        <w:lang w:val="en-US"/>
                      </w:rPr>
                      <w:t>Deputy Ministry of Sanitation and Construction</w:t>
                    </w:r>
                  </w:p>
                </w:txbxContent>
              </v:textbox>
            </v:shape>
            <v:shape id="_x0000_s1111" type="#_x0000_t202" style="position:absolute;left:2494;top:5153;width:2744;height:745" stroked="f">
              <v:textbox style="mso-next-textbox:#_x0000_s1111;mso-direction-alt:auto" inset="2.05739mm,1.0287mm,2.05739mm,1.0287mm">
                <w:txbxContent>
                  <w:p w:rsidR="00B179C9" w:rsidRPr="00D23BCB" w:rsidRDefault="00B179C9" w:rsidP="00D23BCB"/>
                </w:txbxContent>
              </v:textbox>
            </v:shape>
            <v:shape id="_x0000_s1112" type="#_x0000_t202" style="position:absolute;left:3180;top:9142;width:1258;height:380" stroked="f">
              <v:textbox style="mso-next-textbox:#_x0000_s1112;mso-direction-alt:auto" inset="2.05739mm,1.0287mm,2.05739mm,1.0287mm">
                <w:txbxContent>
                  <w:p w:rsidR="00B179C9" w:rsidRPr="00D23BCB" w:rsidRDefault="00B179C9" w:rsidP="00D23BCB"/>
                </w:txbxContent>
              </v:textbox>
            </v:shape>
            <v:shape id="_x0000_s1093" type="#_x0000_t202" style="position:absolute;left:2394;top:9122;width:1014;height:779">
              <v:textbox style="mso-next-textbox:#_x0000_s1093;mso-direction-alt:auto" inset="2.05739mm,1.0287mm,2.05739mm,1.0287mm">
                <w:txbxContent>
                  <w:p w:rsidR="00B179C9" w:rsidRDefault="00B179C9" w:rsidP="00D23BCB">
                    <w:pPr>
                      <w:rPr>
                        <w:sz w:val="18"/>
                      </w:rPr>
                    </w:pPr>
                    <w:r>
                      <w:rPr>
                        <w:sz w:val="18"/>
                      </w:rPr>
                      <w:t>Regulator Agency</w:t>
                    </w:r>
                  </w:p>
                  <w:p w:rsidR="00B179C9" w:rsidRPr="00F8042E" w:rsidRDefault="00B179C9" w:rsidP="00D23BCB">
                    <w:pPr>
                      <w:rPr>
                        <w:sz w:val="18"/>
                      </w:rPr>
                    </w:pPr>
                    <w:r w:rsidRPr="00F8042E">
                      <w:rPr>
                        <w:sz w:val="18"/>
                      </w:rPr>
                      <w:t>SUNA</w:t>
                    </w:r>
                    <w:r>
                      <w:rPr>
                        <w:sz w:val="18"/>
                      </w:rPr>
                      <w:t>SS</w:t>
                    </w:r>
                  </w:p>
                </w:txbxContent>
              </v:textbox>
            </v:shape>
            <v:shape id="_x0000_s1094" type="#_x0000_t202" style="position:absolute;left:3408;top:9142;width:1030;height:345">
              <v:textbox style="mso-next-textbox:#_x0000_s1094;mso-direction-alt:auto" inset="2.05739mm,1.0287mm,2.05739mm,1.0287mm">
                <w:txbxContent>
                  <w:p w:rsidR="00B179C9" w:rsidRPr="00AE1E7C" w:rsidRDefault="00B179C9" w:rsidP="00D23BCB">
                    <w:pPr>
                      <w:rPr>
                        <w:sz w:val="19"/>
                      </w:rPr>
                    </w:pPr>
                    <w:r w:rsidRPr="00AE1E7C">
                      <w:rPr>
                        <w:sz w:val="19"/>
                      </w:rPr>
                      <w:t>INRENA</w:t>
                    </w:r>
                  </w:p>
                </w:txbxContent>
              </v:textbox>
            </v:shape>
            <v:rect id="_x0000_s1144" style="position:absolute;left:9925;top:10092;width:457;height:949" stroked="f"/>
            <v:shape id="_x0000_s1101" type="#_x0000_t202" style="position:absolute;left:8896;top:10092;width:1220;height:917">
              <v:textbox style="mso-next-textbox:#_x0000_s1101;mso-direction-alt:auto" inset="2.05739mm,1.0287mm,2.05739mm,1.0287mm">
                <w:txbxContent>
                  <w:p w:rsidR="00B179C9" w:rsidRPr="00F8042E" w:rsidRDefault="00B179C9" w:rsidP="00D23BCB">
                    <w:pPr>
                      <w:jc w:val="center"/>
                      <w:rPr>
                        <w:sz w:val="16"/>
                        <w:szCs w:val="16"/>
                        <w:lang w:val="es-PE"/>
                      </w:rPr>
                    </w:pPr>
                    <w:r>
                      <w:rPr>
                        <w:sz w:val="16"/>
                        <w:szCs w:val="16"/>
                        <w:lang w:val="es-PE"/>
                      </w:rPr>
                      <w:t>National Directorate of Sanitation</w:t>
                    </w:r>
                  </w:p>
                </w:txbxContent>
              </v:textbox>
            </v:shape>
            <v:shape id="_x0000_s1100" type="#_x0000_t202" style="position:absolute;left:10154;top:10091;width:1013;height:917;mso-wrap-style:tight">
              <v:textbox style="mso-next-textbox:#_x0000_s1100;mso-direction-alt:auto" inset="2.05739mm,1.0287mm,2.05739mm,1.0287mm">
                <w:txbxContent>
                  <w:p w:rsidR="00B179C9" w:rsidRPr="00F8042E" w:rsidRDefault="00B179C9" w:rsidP="00D23BCB">
                    <w:pPr>
                      <w:jc w:val="center"/>
                      <w:rPr>
                        <w:sz w:val="16"/>
                        <w:szCs w:val="16"/>
                        <w:lang w:val="es-PE"/>
                      </w:rPr>
                    </w:pPr>
                    <w:r>
                      <w:rPr>
                        <w:sz w:val="16"/>
                        <w:szCs w:val="16"/>
                        <w:lang w:val="es-PE"/>
                      </w:rPr>
                      <w:t>Water for Everyone program</w:t>
                    </w:r>
                  </w:p>
                </w:txbxContent>
              </v:textbox>
            </v:shape>
            <w10:wrap type="none"/>
            <w10:anchorlock/>
          </v:group>
        </w:pict>
      </w:r>
    </w:p>
    <w:p w:rsidR="002000A7" w:rsidRPr="00C472D2" w:rsidRDefault="00D23BCB" w:rsidP="0088722D">
      <w:pPr>
        <w:spacing w:line="276" w:lineRule="auto"/>
        <w:jc w:val="both"/>
        <w:rPr>
          <w:rFonts w:ascii="Calibri" w:eastAsia="Calibri" w:hAnsi="Calibri"/>
          <w:bCs/>
          <w:sz w:val="16"/>
          <w:szCs w:val="16"/>
          <w:lang w:val="en-US" w:eastAsia="en-US"/>
        </w:rPr>
      </w:pPr>
      <w:r w:rsidRPr="00C472D2">
        <w:rPr>
          <w:rFonts w:ascii="Calibri" w:eastAsia="Calibri" w:hAnsi="Calibri"/>
          <w:bCs/>
          <w:sz w:val="16"/>
          <w:szCs w:val="16"/>
          <w:lang w:val="en-US" w:eastAsia="en-US"/>
        </w:rPr>
        <w:t>Source: Sunass</w:t>
      </w:r>
    </w:p>
    <w:p w:rsidR="00E77862" w:rsidRDefault="00E77862" w:rsidP="0088722D">
      <w:pPr>
        <w:spacing w:line="276" w:lineRule="auto"/>
        <w:jc w:val="both"/>
        <w:rPr>
          <w:rFonts w:ascii="Calibri" w:eastAsia="Calibri" w:hAnsi="Calibri"/>
          <w:bCs/>
          <w:sz w:val="22"/>
          <w:szCs w:val="20"/>
          <w:lang w:val="en-US" w:eastAsia="en-US"/>
        </w:rPr>
      </w:pPr>
    </w:p>
    <w:p w:rsidR="002000A7" w:rsidRDefault="0045515D" w:rsidP="00F71A27">
      <w:pPr>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The main institution in this sector is the </w:t>
      </w:r>
      <w:r w:rsidR="00F71A27">
        <w:rPr>
          <w:rFonts w:ascii="Calibri" w:eastAsia="Calibri" w:hAnsi="Calibri"/>
          <w:bCs/>
          <w:sz w:val="22"/>
          <w:szCs w:val="20"/>
          <w:lang w:val="en-US" w:eastAsia="en-US"/>
        </w:rPr>
        <w:t>Ministry of Public Works (</w:t>
      </w:r>
      <w:r w:rsidR="004230AE" w:rsidRPr="0088722D">
        <w:rPr>
          <w:rFonts w:ascii="Calibri" w:eastAsia="Calibri" w:hAnsi="Calibri"/>
          <w:bCs/>
          <w:sz w:val="22"/>
          <w:szCs w:val="20"/>
          <w:lang w:val="en-US" w:eastAsia="en-US"/>
        </w:rPr>
        <w:t>Ministerio de Vivie</w:t>
      </w:r>
      <w:r w:rsidR="00F71A27">
        <w:rPr>
          <w:rFonts w:ascii="Calibri" w:eastAsia="Calibri" w:hAnsi="Calibri"/>
          <w:bCs/>
          <w:sz w:val="22"/>
          <w:szCs w:val="20"/>
          <w:lang w:val="en-US" w:eastAsia="en-US"/>
        </w:rPr>
        <w:t xml:space="preserve">nda, Construcción y Saneamiento, </w:t>
      </w:r>
      <w:r w:rsidR="004230AE" w:rsidRPr="0088722D">
        <w:rPr>
          <w:rFonts w:ascii="Calibri" w:eastAsia="Calibri" w:hAnsi="Calibri"/>
          <w:bCs/>
          <w:sz w:val="22"/>
          <w:szCs w:val="20"/>
          <w:lang w:val="en-US" w:eastAsia="en-US"/>
        </w:rPr>
        <w:t>MVCS).</w:t>
      </w:r>
      <w:r w:rsidR="0034688D" w:rsidRPr="0088722D">
        <w:rPr>
          <w:rFonts w:ascii="Calibri" w:eastAsia="Calibri" w:hAnsi="Calibri"/>
          <w:bCs/>
          <w:sz w:val="22"/>
          <w:szCs w:val="20"/>
          <w:lang w:val="en-US" w:eastAsia="en-US"/>
        </w:rPr>
        <w:t xml:space="preserve"> </w:t>
      </w:r>
      <w:r w:rsidR="002000A7" w:rsidRPr="0088722D">
        <w:rPr>
          <w:rFonts w:ascii="Calibri" w:eastAsia="Calibri" w:hAnsi="Calibri"/>
          <w:bCs/>
          <w:sz w:val="22"/>
          <w:szCs w:val="20"/>
          <w:lang w:val="en-US" w:eastAsia="en-US"/>
        </w:rPr>
        <w:t>It approves, executes and supervises national policies in matters of housing, urbanism, construction and sanitation.</w:t>
      </w:r>
      <w:r w:rsidR="0088722D" w:rsidRPr="0088722D">
        <w:rPr>
          <w:rFonts w:ascii="Calibri" w:eastAsia="Calibri" w:hAnsi="Calibri"/>
          <w:bCs/>
          <w:sz w:val="22"/>
          <w:szCs w:val="20"/>
          <w:lang w:val="en-US" w:eastAsia="en-US"/>
        </w:rPr>
        <w:t xml:space="preserve"> </w:t>
      </w:r>
      <w:r w:rsidR="00590283">
        <w:rPr>
          <w:rFonts w:ascii="Calibri" w:eastAsia="Calibri" w:hAnsi="Calibri"/>
          <w:bCs/>
          <w:sz w:val="22"/>
          <w:szCs w:val="20"/>
          <w:lang w:val="en-US" w:eastAsia="en-US"/>
        </w:rPr>
        <w:t>It has two divisions:</w:t>
      </w:r>
      <w:r w:rsidR="0034688D" w:rsidRPr="0088722D">
        <w:rPr>
          <w:rFonts w:ascii="Calibri" w:eastAsia="Calibri" w:hAnsi="Calibri"/>
          <w:bCs/>
          <w:sz w:val="22"/>
          <w:szCs w:val="20"/>
          <w:lang w:val="en-US" w:eastAsia="en-US"/>
        </w:rPr>
        <w:t xml:space="preserve"> the first one is the</w:t>
      </w:r>
      <w:r w:rsidR="002000A7" w:rsidRPr="0088722D">
        <w:rPr>
          <w:rFonts w:ascii="Calibri" w:eastAsia="Calibri" w:hAnsi="Calibri"/>
          <w:bCs/>
          <w:sz w:val="22"/>
          <w:szCs w:val="20"/>
          <w:lang w:val="en-US" w:eastAsia="en-US"/>
        </w:rPr>
        <w:t xml:space="preserve"> Vice Ministerio de Vivienda y Urbanismo and the second</w:t>
      </w:r>
      <w:r w:rsidR="00590283">
        <w:rPr>
          <w:rFonts w:ascii="Calibri" w:eastAsia="Calibri" w:hAnsi="Calibri"/>
          <w:bCs/>
          <w:sz w:val="22"/>
          <w:szCs w:val="20"/>
          <w:lang w:val="en-US" w:eastAsia="en-US"/>
        </w:rPr>
        <w:t xml:space="preserve"> one</w:t>
      </w:r>
      <w:r w:rsidR="002000A7" w:rsidRPr="0088722D">
        <w:rPr>
          <w:rFonts w:ascii="Calibri" w:eastAsia="Calibri" w:hAnsi="Calibri"/>
          <w:bCs/>
          <w:sz w:val="22"/>
          <w:szCs w:val="20"/>
          <w:lang w:val="en-US" w:eastAsia="en-US"/>
        </w:rPr>
        <w:t xml:space="preserve"> is the</w:t>
      </w:r>
      <w:r w:rsidR="0034688D" w:rsidRPr="0088722D">
        <w:rPr>
          <w:rFonts w:ascii="Calibri" w:eastAsia="Calibri" w:hAnsi="Calibri"/>
          <w:bCs/>
          <w:sz w:val="22"/>
          <w:szCs w:val="20"/>
          <w:lang w:val="en-US" w:eastAsia="en-US"/>
        </w:rPr>
        <w:t xml:space="preserve"> </w:t>
      </w:r>
      <w:r w:rsidR="002000A7" w:rsidRPr="0088722D">
        <w:rPr>
          <w:rFonts w:ascii="Calibri" w:eastAsia="Calibri" w:hAnsi="Calibri"/>
          <w:bCs/>
          <w:sz w:val="22"/>
          <w:szCs w:val="20"/>
          <w:lang w:val="en-US" w:eastAsia="en-US"/>
        </w:rPr>
        <w:t>Vice Ministro de Construcción y Saneamiento. Th</w:t>
      </w:r>
      <w:r w:rsidR="00590283">
        <w:rPr>
          <w:rFonts w:ascii="Calibri" w:eastAsia="Calibri" w:hAnsi="Calibri"/>
          <w:bCs/>
          <w:sz w:val="22"/>
          <w:szCs w:val="20"/>
          <w:lang w:val="en-US" w:eastAsia="en-US"/>
        </w:rPr>
        <w:t>is</w:t>
      </w:r>
      <w:r w:rsidR="002000A7" w:rsidRPr="0088722D">
        <w:rPr>
          <w:rFonts w:ascii="Calibri" w:eastAsia="Calibri" w:hAnsi="Calibri"/>
          <w:bCs/>
          <w:sz w:val="22"/>
          <w:szCs w:val="20"/>
          <w:lang w:val="en-US" w:eastAsia="en-US"/>
        </w:rPr>
        <w:t xml:space="preserve"> last one is in direct charge of the sanitation sector and includes the Dirección Nacional de Saneamiento (DNS) and the Direcciones Regionales de Vivienda, Construcción y Saneamiento.</w:t>
      </w:r>
      <w:r w:rsidR="006F1BB0">
        <w:rPr>
          <w:rFonts w:ascii="Calibri" w:eastAsia="Calibri" w:hAnsi="Calibri"/>
          <w:bCs/>
          <w:sz w:val="22"/>
          <w:szCs w:val="20"/>
          <w:lang w:val="en-US" w:eastAsia="en-US"/>
        </w:rPr>
        <w:t xml:space="preserve"> </w:t>
      </w:r>
      <w:r w:rsidR="002000A7" w:rsidRPr="0088722D">
        <w:rPr>
          <w:rFonts w:ascii="Calibri" w:eastAsia="Calibri" w:hAnsi="Calibri"/>
          <w:bCs/>
          <w:sz w:val="22"/>
          <w:szCs w:val="20"/>
          <w:lang w:val="en-US" w:eastAsia="en-US"/>
        </w:rPr>
        <w:t xml:space="preserve">These entities </w:t>
      </w:r>
      <w:r w:rsidR="004C21AE">
        <w:rPr>
          <w:rFonts w:ascii="Calibri" w:eastAsia="Calibri" w:hAnsi="Calibri"/>
          <w:bCs/>
          <w:sz w:val="22"/>
          <w:szCs w:val="20"/>
          <w:lang w:val="en-US" w:eastAsia="en-US"/>
        </w:rPr>
        <w:t>are responsible for</w:t>
      </w:r>
      <w:r w:rsidR="002000A7" w:rsidRPr="0088722D">
        <w:rPr>
          <w:rFonts w:ascii="Calibri" w:eastAsia="Calibri" w:hAnsi="Calibri"/>
          <w:bCs/>
          <w:sz w:val="22"/>
          <w:szCs w:val="20"/>
          <w:lang w:val="en-US" w:eastAsia="en-US"/>
        </w:rPr>
        <w:t xml:space="preserve"> oversee</w:t>
      </w:r>
      <w:r w:rsidR="004C21AE">
        <w:rPr>
          <w:rFonts w:ascii="Calibri" w:eastAsia="Calibri" w:hAnsi="Calibri"/>
          <w:bCs/>
          <w:sz w:val="22"/>
          <w:szCs w:val="20"/>
          <w:lang w:val="en-US" w:eastAsia="en-US"/>
        </w:rPr>
        <w:t>ing</w:t>
      </w:r>
      <w:r w:rsidR="002000A7" w:rsidRPr="0088722D">
        <w:rPr>
          <w:rFonts w:ascii="Calibri" w:eastAsia="Calibri" w:hAnsi="Calibri"/>
          <w:bCs/>
          <w:sz w:val="22"/>
          <w:szCs w:val="20"/>
          <w:lang w:val="en-US" w:eastAsia="en-US"/>
        </w:rPr>
        <w:t xml:space="preserve"> and </w:t>
      </w:r>
      <w:r w:rsidR="002000A7" w:rsidRPr="0088722D">
        <w:rPr>
          <w:rFonts w:ascii="Calibri" w:eastAsia="Calibri" w:hAnsi="Calibri"/>
          <w:bCs/>
          <w:sz w:val="22"/>
          <w:szCs w:val="20"/>
          <w:lang w:val="en-US" w:eastAsia="en-US"/>
        </w:rPr>
        <w:lastRenderedPageBreak/>
        <w:t>develop</w:t>
      </w:r>
      <w:r w:rsidR="004C21AE">
        <w:rPr>
          <w:rFonts w:ascii="Calibri" w:eastAsia="Calibri" w:hAnsi="Calibri"/>
          <w:bCs/>
          <w:sz w:val="22"/>
          <w:szCs w:val="20"/>
          <w:lang w:val="en-US" w:eastAsia="en-US"/>
        </w:rPr>
        <w:t>ing programs, regulating</w:t>
      </w:r>
      <w:r w:rsidR="002000A7" w:rsidRPr="0088722D">
        <w:rPr>
          <w:rFonts w:ascii="Calibri" w:eastAsia="Calibri" w:hAnsi="Calibri"/>
          <w:bCs/>
          <w:sz w:val="22"/>
          <w:szCs w:val="20"/>
          <w:lang w:val="en-US" w:eastAsia="en-US"/>
        </w:rPr>
        <w:t>, assign</w:t>
      </w:r>
      <w:r w:rsidR="004C21AE">
        <w:rPr>
          <w:rFonts w:ascii="Calibri" w:eastAsia="Calibri" w:hAnsi="Calibri"/>
          <w:bCs/>
          <w:sz w:val="22"/>
          <w:szCs w:val="20"/>
          <w:lang w:val="en-US" w:eastAsia="en-US"/>
        </w:rPr>
        <w:t>ing</w:t>
      </w:r>
      <w:r w:rsidR="002000A7" w:rsidRPr="0088722D">
        <w:rPr>
          <w:rFonts w:ascii="Calibri" w:eastAsia="Calibri" w:hAnsi="Calibri"/>
          <w:bCs/>
          <w:sz w:val="22"/>
          <w:szCs w:val="20"/>
          <w:lang w:val="en-US" w:eastAsia="en-US"/>
        </w:rPr>
        <w:t xml:space="preserve"> resources, among other duties.</w:t>
      </w:r>
      <w:r w:rsidR="00F71A27">
        <w:rPr>
          <w:rFonts w:ascii="Calibri" w:eastAsia="Calibri" w:hAnsi="Calibri"/>
          <w:bCs/>
          <w:sz w:val="22"/>
          <w:szCs w:val="20"/>
          <w:lang w:val="en-US" w:eastAsia="en-US"/>
        </w:rPr>
        <w:t xml:space="preserve"> </w:t>
      </w:r>
      <w:r w:rsidR="002000A7" w:rsidRPr="0088722D">
        <w:rPr>
          <w:rFonts w:ascii="Calibri" w:eastAsia="Calibri" w:hAnsi="Calibri"/>
          <w:bCs/>
          <w:sz w:val="22"/>
          <w:szCs w:val="20"/>
          <w:lang w:val="es-PE" w:eastAsia="en-US"/>
        </w:rPr>
        <w:t>An important office is the</w:t>
      </w:r>
      <w:r w:rsidR="00F71A27">
        <w:rPr>
          <w:rFonts w:ascii="Calibri" w:eastAsia="Calibri" w:hAnsi="Calibri"/>
          <w:bCs/>
          <w:sz w:val="22"/>
          <w:szCs w:val="20"/>
          <w:lang w:val="es-PE" w:eastAsia="en-US"/>
        </w:rPr>
        <w:t xml:space="preserve"> regulatory agency</w:t>
      </w:r>
      <w:r w:rsidR="002000A7" w:rsidRPr="0088722D">
        <w:rPr>
          <w:rFonts w:ascii="Calibri" w:eastAsia="Calibri" w:hAnsi="Calibri"/>
          <w:bCs/>
          <w:sz w:val="22"/>
          <w:szCs w:val="20"/>
          <w:lang w:val="es-PE" w:eastAsia="en-US"/>
        </w:rPr>
        <w:t xml:space="preserve"> </w:t>
      </w:r>
      <w:r w:rsidR="00F71A27">
        <w:rPr>
          <w:rFonts w:ascii="Calibri" w:eastAsia="Calibri" w:hAnsi="Calibri"/>
          <w:bCs/>
          <w:sz w:val="22"/>
          <w:szCs w:val="20"/>
          <w:lang w:val="es-PE" w:eastAsia="en-US"/>
        </w:rPr>
        <w:t xml:space="preserve">called </w:t>
      </w:r>
      <w:r w:rsidR="002000A7" w:rsidRPr="0088722D">
        <w:rPr>
          <w:rFonts w:ascii="Calibri" w:eastAsia="Calibri" w:hAnsi="Calibri"/>
          <w:bCs/>
          <w:sz w:val="22"/>
          <w:szCs w:val="20"/>
          <w:lang w:val="es-PE" w:eastAsia="en-US"/>
        </w:rPr>
        <w:t xml:space="preserve">Superintendencia Nacional de Servicios de Saneamiento (SUNASS). </w:t>
      </w:r>
      <w:r w:rsidR="002000A7" w:rsidRPr="00C472D2">
        <w:rPr>
          <w:rFonts w:ascii="Calibri" w:eastAsia="Calibri" w:hAnsi="Calibri"/>
          <w:bCs/>
          <w:sz w:val="22"/>
          <w:szCs w:val="20"/>
          <w:lang w:val="en-US" w:eastAsia="en-US"/>
        </w:rPr>
        <w:t xml:space="preserve">It supervises, regulates and sanctions according to claims made by the users. </w:t>
      </w:r>
      <w:r w:rsidR="00110C7A" w:rsidRPr="00C472D2">
        <w:rPr>
          <w:rFonts w:ascii="Calibri" w:eastAsia="Calibri" w:hAnsi="Calibri"/>
          <w:bCs/>
          <w:sz w:val="22"/>
          <w:szCs w:val="20"/>
          <w:lang w:val="en-US" w:eastAsia="en-US"/>
        </w:rPr>
        <w:t>It i</w:t>
      </w:r>
      <w:r w:rsidR="002000A7" w:rsidRPr="00C472D2">
        <w:rPr>
          <w:rFonts w:ascii="Calibri" w:eastAsia="Calibri" w:hAnsi="Calibri"/>
          <w:bCs/>
          <w:sz w:val="22"/>
          <w:szCs w:val="20"/>
          <w:lang w:val="en-US" w:eastAsia="en-US"/>
        </w:rPr>
        <w:t>s autonomous from the MVCS and responds to the Presidencia del Consejo de Ministros (PCM).</w:t>
      </w:r>
    </w:p>
    <w:p w:rsidR="00F71A27" w:rsidRPr="00C472D2" w:rsidRDefault="00F71A27" w:rsidP="00F71A27">
      <w:pPr>
        <w:spacing w:line="276" w:lineRule="auto"/>
        <w:jc w:val="both"/>
        <w:rPr>
          <w:rFonts w:ascii="Calibri" w:eastAsia="Calibri" w:hAnsi="Calibri"/>
          <w:bCs/>
          <w:sz w:val="22"/>
          <w:szCs w:val="20"/>
          <w:lang w:val="en-US" w:eastAsia="en-US"/>
        </w:rPr>
      </w:pPr>
    </w:p>
    <w:p w:rsidR="00590283" w:rsidRDefault="002000A7"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The Ministerio de Salud (MINSA) also has an important stake in the organization of functions. </w:t>
      </w:r>
      <w:r w:rsidRPr="00C472D2">
        <w:rPr>
          <w:rFonts w:ascii="Calibri" w:eastAsia="Calibri" w:hAnsi="Calibri"/>
          <w:bCs/>
          <w:sz w:val="22"/>
          <w:szCs w:val="20"/>
          <w:lang w:val="en-US" w:eastAsia="en-US"/>
        </w:rPr>
        <w:t xml:space="preserve">Through the Dirección General de Salud Ambiental (DIGESA), it supervises the protection of the environment for health reasons. </w:t>
      </w:r>
      <w:r w:rsidRPr="00590283">
        <w:rPr>
          <w:rFonts w:ascii="Calibri" w:eastAsia="Calibri" w:hAnsi="Calibri"/>
          <w:bCs/>
          <w:sz w:val="22"/>
          <w:szCs w:val="20"/>
          <w:lang w:val="en-US" w:eastAsia="en-US"/>
        </w:rPr>
        <w:t>Also, the Dirección Ejecutiva de Saneamiento Básico (DESAB) deals with the quality of the water in order to assure that it is proper for human consumption.</w:t>
      </w:r>
      <w:r w:rsidR="00590283" w:rsidRPr="00590283">
        <w:rPr>
          <w:rFonts w:ascii="Calibri" w:eastAsia="Calibri" w:hAnsi="Calibri"/>
          <w:bCs/>
          <w:sz w:val="22"/>
          <w:szCs w:val="20"/>
          <w:lang w:val="en-US" w:eastAsia="en-US"/>
        </w:rPr>
        <w:t xml:space="preserve"> </w:t>
      </w:r>
      <w:r w:rsidRPr="0088722D">
        <w:rPr>
          <w:rFonts w:ascii="Calibri" w:eastAsia="Calibri" w:hAnsi="Calibri"/>
          <w:bCs/>
          <w:sz w:val="22"/>
          <w:szCs w:val="20"/>
          <w:lang w:val="en-US" w:eastAsia="en-US"/>
        </w:rPr>
        <w:t>Another government department involved is the Ministerio de Economía y Finanzas (MEF), which has decision in prioritizing investments, approving projects and distributing money and resources.</w:t>
      </w:r>
      <w:r w:rsidR="00590283">
        <w:rPr>
          <w:rFonts w:ascii="Calibri" w:eastAsia="Calibri" w:hAnsi="Calibri"/>
          <w:bCs/>
          <w:sz w:val="22"/>
          <w:szCs w:val="20"/>
          <w:lang w:val="en-US" w:eastAsia="en-US"/>
        </w:rPr>
        <w:t xml:space="preserve"> </w:t>
      </w:r>
    </w:p>
    <w:p w:rsidR="002000A7" w:rsidRPr="00C472D2" w:rsidRDefault="00F106BE"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The institutions that are directly involved in executing the operation, maintaining and managing the services are the Empresas Prestadoras de Servicios Municipales (EPS). </w:t>
      </w:r>
      <w:r w:rsidR="00110C7A" w:rsidRPr="00590283">
        <w:rPr>
          <w:rFonts w:ascii="Calibri" w:eastAsia="Calibri" w:hAnsi="Calibri"/>
          <w:bCs/>
          <w:sz w:val="22"/>
          <w:szCs w:val="20"/>
          <w:lang w:val="en-US" w:eastAsia="en-US"/>
        </w:rPr>
        <w:t>These entities</w:t>
      </w:r>
      <w:r w:rsidRPr="00590283">
        <w:rPr>
          <w:rFonts w:ascii="Calibri" w:eastAsia="Calibri" w:hAnsi="Calibri"/>
          <w:bCs/>
          <w:sz w:val="22"/>
          <w:szCs w:val="20"/>
          <w:lang w:val="en-US" w:eastAsia="en-US"/>
        </w:rPr>
        <w:t xml:space="preserve"> are mostly focused in urban areas, whereas small town halls and communal organizations deal with the rural ones.</w:t>
      </w:r>
      <w:r w:rsidR="00590283" w:rsidRPr="00590283">
        <w:rPr>
          <w:rFonts w:ascii="Calibri" w:eastAsia="Calibri" w:hAnsi="Calibri"/>
          <w:bCs/>
          <w:sz w:val="22"/>
          <w:szCs w:val="20"/>
          <w:lang w:val="en-US" w:eastAsia="en-US"/>
        </w:rPr>
        <w:t xml:space="preserve"> </w:t>
      </w:r>
      <w:r w:rsidR="002000A7" w:rsidRPr="0088722D">
        <w:rPr>
          <w:rFonts w:ascii="Calibri" w:eastAsia="Calibri" w:hAnsi="Calibri"/>
          <w:bCs/>
          <w:sz w:val="22"/>
          <w:szCs w:val="20"/>
          <w:lang w:val="en-US" w:eastAsia="en-US"/>
        </w:rPr>
        <w:t xml:space="preserve">There are many other </w:t>
      </w:r>
      <w:r w:rsidRPr="0088722D">
        <w:rPr>
          <w:rFonts w:ascii="Calibri" w:eastAsia="Calibri" w:hAnsi="Calibri"/>
          <w:bCs/>
          <w:sz w:val="22"/>
          <w:szCs w:val="20"/>
          <w:lang w:val="en-US" w:eastAsia="en-US"/>
        </w:rPr>
        <w:t xml:space="preserve">actors like </w:t>
      </w:r>
      <w:r w:rsidR="002000A7" w:rsidRPr="0088722D">
        <w:rPr>
          <w:rFonts w:ascii="Calibri" w:eastAsia="Calibri" w:hAnsi="Calibri"/>
          <w:bCs/>
          <w:sz w:val="22"/>
          <w:szCs w:val="20"/>
          <w:lang w:val="en-US" w:eastAsia="en-US"/>
        </w:rPr>
        <w:t>Organizaciones No Gubernamentales (ONG</w:t>
      </w:r>
      <w:r w:rsidR="00D65D14" w:rsidRPr="0088722D">
        <w:rPr>
          <w:rFonts w:ascii="Calibri" w:eastAsia="Calibri" w:hAnsi="Calibri"/>
          <w:bCs/>
          <w:sz w:val="22"/>
          <w:szCs w:val="20"/>
          <w:lang w:val="en-US" w:eastAsia="en-US"/>
        </w:rPr>
        <w:t>s</w:t>
      </w:r>
      <w:r w:rsidR="002000A7" w:rsidRPr="0088722D">
        <w:rPr>
          <w:rFonts w:ascii="Calibri" w:eastAsia="Calibri" w:hAnsi="Calibri"/>
          <w:bCs/>
          <w:sz w:val="22"/>
          <w:szCs w:val="20"/>
          <w:lang w:val="en-US" w:eastAsia="en-US"/>
        </w:rPr>
        <w:t xml:space="preserve">), </w:t>
      </w:r>
      <w:r w:rsidRPr="0088722D">
        <w:rPr>
          <w:rFonts w:ascii="Calibri" w:eastAsia="Calibri" w:hAnsi="Calibri"/>
          <w:bCs/>
          <w:sz w:val="22"/>
          <w:szCs w:val="20"/>
          <w:lang w:val="en-US" w:eastAsia="en-US"/>
        </w:rPr>
        <w:t>the Private Sector</w:t>
      </w:r>
      <w:r w:rsidR="002000A7" w:rsidRPr="0088722D">
        <w:rPr>
          <w:rFonts w:ascii="Calibri" w:eastAsia="Calibri" w:hAnsi="Calibri"/>
          <w:bCs/>
          <w:sz w:val="22"/>
          <w:szCs w:val="20"/>
          <w:lang w:val="en-US" w:eastAsia="en-US"/>
        </w:rPr>
        <w:t xml:space="preserve">, </w:t>
      </w:r>
      <w:r w:rsidRPr="0088722D">
        <w:rPr>
          <w:rFonts w:ascii="Calibri" w:eastAsia="Calibri" w:hAnsi="Calibri"/>
          <w:bCs/>
          <w:sz w:val="22"/>
          <w:szCs w:val="20"/>
          <w:lang w:val="en-US" w:eastAsia="en-US"/>
        </w:rPr>
        <w:t>International Institutions</w:t>
      </w:r>
      <w:r w:rsidR="00D65D14" w:rsidRPr="0088722D">
        <w:rPr>
          <w:rFonts w:ascii="Calibri" w:eastAsia="Calibri" w:hAnsi="Calibri"/>
          <w:bCs/>
          <w:sz w:val="22"/>
          <w:szCs w:val="20"/>
          <w:lang w:val="en-US" w:eastAsia="en-US"/>
        </w:rPr>
        <w:t xml:space="preserve">, among several. </w:t>
      </w:r>
      <w:r w:rsidR="00D65D14" w:rsidRPr="00C472D2">
        <w:rPr>
          <w:rFonts w:ascii="Calibri" w:eastAsia="Calibri" w:hAnsi="Calibri"/>
          <w:bCs/>
          <w:sz w:val="22"/>
          <w:szCs w:val="20"/>
          <w:lang w:val="en-US" w:eastAsia="en-US"/>
        </w:rPr>
        <w:t xml:space="preserve">Their roles are mainly to provide technical advice, training, </w:t>
      </w:r>
      <w:r w:rsidR="00620D3D" w:rsidRPr="00C472D2">
        <w:rPr>
          <w:rFonts w:ascii="Calibri" w:eastAsia="Calibri" w:hAnsi="Calibri"/>
          <w:bCs/>
          <w:sz w:val="22"/>
          <w:szCs w:val="20"/>
          <w:lang w:val="en-US" w:eastAsia="en-US"/>
        </w:rPr>
        <w:t xml:space="preserve">and procure funds for new projects. </w:t>
      </w:r>
    </w:p>
    <w:p w:rsidR="00187447" w:rsidRPr="00C472D2" w:rsidRDefault="00187447" w:rsidP="00187447">
      <w:pPr>
        <w:pStyle w:val="Ttulo2"/>
        <w:spacing w:before="0"/>
        <w:rPr>
          <w:rStyle w:val="nfasisintenso"/>
          <w:lang w:val="en-US"/>
        </w:rPr>
      </w:pPr>
      <w:bookmarkStart w:id="6" w:name="_Toc245908064"/>
      <w:bookmarkStart w:id="7" w:name="_Toc246146216"/>
    </w:p>
    <w:p w:rsidR="009A0AE0" w:rsidRPr="00187447" w:rsidRDefault="0045515D" w:rsidP="00187447">
      <w:pPr>
        <w:pStyle w:val="Ttulo2"/>
        <w:numPr>
          <w:ilvl w:val="0"/>
          <w:numId w:val="15"/>
        </w:numPr>
        <w:spacing w:before="0"/>
        <w:rPr>
          <w:rStyle w:val="nfasisintenso"/>
        </w:rPr>
      </w:pPr>
      <w:bookmarkStart w:id="8" w:name="_Toc254912250"/>
      <w:r w:rsidRPr="00187447">
        <w:rPr>
          <w:rStyle w:val="nfasisintenso"/>
        </w:rPr>
        <w:t>Main Indicators</w:t>
      </w:r>
      <w:bookmarkEnd w:id="6"/>
      <w:bookmarkEnd w:id="7"/>
      <w:bookmarkEnd w:id="8"/>
    </w:p>
    <w:p w:rsidR="002000A7" w:rsidRDefault="002000A7" w:rsidP="002000A7">
      <w:pPr>
        <w:spacing w:line="360" w:lineRule="auto"/>
        <w:rPr>
          <w:rFonts w:ascii="Arial" w:hAnsi="Arial" w:cs="Arial"/>
          <w:sz w:val="28"/>
          <w:szCs w:val="28"/>
          <w:lang w:val="en-GB"/>
        </w:rPr>
      </w:pPr>
    </w:p>
    <w:p w:rsidR="009028E2" w:rsidRDefault="00D50BAB" w:rsidP="0088722D">
      <w:pPr>
        <w:spacing w:after="200"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It is important to mention a few facts t</w:t>
      </w:r>
      <w:r w:rsidR="009028E2" w:rsidRPr="0088722D">
        <w:rPr>
          <w:rFonts w:ascii="Calibri" w:eastAsia="Calibri" w:hAnsi="Calibri"/>
          <w:bCs/>
          <w:sz w:val="22"/>
          <w:szCs w:val="20"/>
          <w:lang w:val="en-US" w:eastAsia="en-US"/>
        </w:rPr>
        <w:t xml:space="preserve">o </w:t>
      </w:r>
      <w:r>
        <w:rPr>
          <w:rFonts w:ascii="Calibri" w:eastAsia="Calibri" w:hAnsi="Calibri"/>
          <w:bCs/>
          <w:sz w:val="22"/>
          <w:szCs w:val="20"/>
          <w:lang w:val="en-US" w:eastAsia="en-US"/>
        </w:rPr>
        <w:t>understand the Peruvian context. For starters,</w:t>
      </w:r>
      <w:r w:rsidR="009028E2" w:rsidRPr="0088722D">
        <w:rPr>
          <w:rFonts w:ascii="Calibri" w:eastAsia="Calibri" w:hAnsi="Calibri"/>
          <w:bCs/>
          <w:sz w:val="22"/>
          <w:szCs w:val="20"/>
          <w:lang w:val="en-US" w:eastAsia="en-US"/>
        </w:rPr>
        <w:t xml:space="preserve"> note that its population is </w:t>
      </w:r>
      <w:r>
        <w:rPr>
          <w:rFonts w:ascii="Calibri" w:eastAsia="Calibri" w:hAnsi="Calibri"/>
          <w:bCs/>
          <w:sz w:val="22"/>
          <w:szCs w:val="20"/>
          <w:lang w:val="en-US" w:eastAsia="en-US"/>
        </w:rPr>
        <w:t xml:space="preserve">now </w:t>
      </w:r>
      <w:r w:rsidR="00110C7A" w:rsidRPr="0088722D">
        <w:rPr>
          <w:rFonts w:ascii="Calibri" w:eastAsia="Calibri" w:hAnsi="Calibri"/>
          <w:bCs/>
          <w:sz w:val="22"/>
          <w:szCs w:val="20"/>
          <w:lang w:val="en-US" w:eastAsia="en-US"/>
        </w:rPr>
        <w:t>mostly</w:t>
      </w:r>
      <w:r w:rsidR="009028E2" w:rsidRPr="0088722D">
        <w:rPr>
          <w:rFonts w:ascii="Calibri" w:eastAsia="Calibri" w:hAnsi="Calibri"/>
          <w:bCs/>
          <w:sz w:val="22"/>
          <w:szCs w:val="20"/>
          <w:lang w:val="en-US" w:eastAsia="en-US"/>
        </w:rPr>
        <w:t xml:space="preserve"> urban</w:t>
      </w:r>
      <w:r>
        <w:rPr>
          <w:rFonts w:ascii="Calibri" w:eastAsia="Calibri" w:hAnsi="Calibri"/>
          <w:bCs/>
          <w:sz w:val="22"/>
          <w:szCs w:val="20"/>
          <w:lang w:val="en-US" w:eastAsia="en-US"/>
        </w:rPr>
        <w:t xml:space="preserve"> (74.8%), as Figure 2 shows. The urbanization of the population</w:t>
      </w:r>
      <w:r w:rsidR="009028E2" w:rsidRPr="0088722D">
        <w:rPr>
          <w:rFonts w:ascii="Calibri" w:eastAsia="Calibri" w:hAnsi="Calibri"/>
          <w:bCs/>
          <w:sz w:val="22"/>
          <w:szCs w:val="20"/>
          <w:lang w:val="en-US" w:eastAsia="en-US"/>
        </w:rPr>
        <w:t xml:space="preserve"> </w:t>
      </w:r>
      <w:r>
        <w:rPr>
          <w:rFonts w:ascii="Calibri" w:eastAsia="Calibri" w:hAnsi="Calibri"/>
          <w:bCs/>
          <w:sz w:val="22"/>
          <w:szCs w:val="20"/>
          <w:lang w:val="en-US" w:eastAsia="en-US"/>
        </w:rPr>
        <w:t>accelerated from 1940 to 1970.</w:t>
      </w:r>
    </w:p>
    <w:p w:rsidR="002000A7" w:rsidRPr="008B59A8" w:rsidRDefault="002B6045" w:rsidP="008B59A8">
      <w:pPr>
        <w:pStyle w:val="Epgrafe"/>
        <w:jc w:val="center"/>
        <w:rPr>
          <w:rFonts w:ascii="Calibri" w:eastAsia="Calibri" w:hAnsi="Calibri"/>
          <w:color w:val="4F81BD"/>
          <w:sz w:val="18"/>
          <w:szCs w:val="18"/>
          <w:lang w:val="en-US" w:eastAsia="en-US"/>
        </w:rPr>
      </w:pPr>
      <w:r w:rsidRPr="008B59A8">
        <w:rPr>
          <w:rFonts w:ascii="Calibri" w:eastAsia="Calibri" w:hAnsi="Calibri"/>
          <w:color w:val="4F81BD"/>
          <w:sz w:val="18"/>
          <w:szCs w:val="18"/>
          <w:lang w:val="en-US" w:eastAsia="en-US"/>
        </w:rPr>
        <w:t xml:space="preserve">Figure </w:t>
      </w:r>
      <w:r w:rsidR="00DD7CFF" w:rsidRPr="008B59A8">
        <w:rPr>
          <w:rFonts w:ascii="Calibri" w:eastAsia="Calibri" w:hAnsi="Calibri"/>
          <w:color w:val="4F81BD"/>
          <w:sz w:val="18"/>
          <w:szCs w:val="18"/>
          <w:lang w:val="en-US" w:eastAsia="en-US"/>
        </w:rPr>
        <w:fldChar w:fldCharType="begin"/>
      </w:r>
      <w:r w:rsidRPr="008B59A8">
        <w:rPr>
          <w:rFonts w:ascii="Calibri" w:eastAsia="Calibri" w:hAnsi="Calibri"/>
          <w:color w:val="4F81BD"/>
          <w:sz w:val="18"/>
          <w:szCs w:val="18"/>
          <w:lang w:val="en-US" w:eastAsia="en-US"/>
        </w:rPr>
        <w:instrText xml:space="preserve"> SEQ Figure \* ARABIC </w:instrText>
      </w:r>
      <w:r w:rsidR="00DD7CFF" w:rsidRPr="008B59A8">
        <w:rPr>
          <w:rFonts w:ascii="Calibri" w:eastAsia="Calibri" w:hAnsi="Calibri"/>
          <w:color w:val="4F81BD"/>
          <w:sz w:val="18"/>
          <w:szCs w:val="18"/>
          <w:lang w:val="en-US" w:eastAsia="en-US"/>
        </w:rPr>
        <w:fldChar w:fldCharType="separate"/>
      </w:r>
      <w:r w:rsidR="005E5A28">
        <w:rPr>
          <w:rFonts w:ascii="Calibri" w:eastAsia="Calibri" w:hAnsi="Calibri"/>
          <w:noProof/>
          <w:color w:val="4F81BD"/>
          <w:sz w:val="18"/>
          <w:szCs w:val="18"/>
          <w:lang w:val="en-US" w:eastAsia="en-US"/>
        </w:rPr>
        <w:t>2</w:t>
      </w:r>
      <w:r w:rsidR="00DD7CFF" w:rsidRPr="008B59A8">
        <w:rPr>
          <w:rFonts w:ascii="Calibri" w:eastAsia="Calibri" w:hAnsi="Calibri"/>
          <w:color w:val="4F81BD"/>
          <w:sz w:val="18"/>
          <w:szCs w:val="18"/>
          <w:lang w:val="en-US" w:eastAsia="en-US"/>
        </w:rPr>
        <w:fldChar w:fldCharType="end"/>
      </w:r>
      <w:r w:rsidRPr="008B59A8">
        <w:rPr>
          <w:rFonts w:ascii="Calibri" w:eastAsia="Calibri" w:hAnsi="Calibri"/>
          <w:color w:val="4F81BD"/>
          <w:sz w:val="18"/>
          <w:szCs w:val="18"/>
          <w:lang w:val="en-US" w:eastAsia="en-US"/>
        </w:rPr>
        <w:t>: Distribution of the Population</w:t>
      </w:r>
    </w:p>
    <w:p w:rsidR="008B59A8" w:rsidRDefault="00786AEB" w:rsidP="008B59A8">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2863850" cy="1647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863850" cy="1647825"/>
                    </a:xfrm>
                    <a:prstGeom prst="rect">
                      <a:avLst/>
                    </a:prstGeom>
                    <a:noFill/>
                    <a:ln w="9525">
                      <a:noFill/>
                      <a:miter lim="800000"/>
                      <a:headEnd/>
                      <a:tailEnd/>
                    </a:ln>
                  </pic:spPr>
                </pic:pic>
              </a:graphicData>
            </a:graphic>
          </wp:inline>
        </w:drawing>
      </w:r>
    </w:p>
    <w:p w:rsidR="002B6045" w:rsidRPr="008B59A8" w:rsidRDefault="005F2D8E" w:rsidP="008B59A8">
      <w:pPr>
        <w:spacing w:line="276" w:lineRule="auto"/>
        <w:ind w:left="1416" w:firstLine="708"/>
        <w:rPr>
          <w:rFonts w:ascii="Calibri" w:eastAsia="Calibri" w:hAnsi="Calibri"/>
          <w:bCs/>
          <w:sz w:val="16"/>
          <w:szCs w:val="16"/>
          <w:lang w:val="en-US" w:eastAsia="en-US"/>
        </w:rPr>
      </w:pPr>
      <w:r>
        <w:rPr>
          <w:rFonts w:ascii="Calibri" w:eastAsia="Calibri" w:hAnsi="Calibri"/>
          <w:bCs/>
          <w:sz w:val="16"/>
          <w:szCs w:val="16"/>
          <w:lang w:val="en-US" w:eastAsia="en-US"/>
        </w:rPr>
        <w:t>Source: Census</w:t>
      </w:r>
      <w:r w:rsidR="002B6045" w:rsidRPr="008B59A8">
        <w:rPr>
          <w:rFonts w:ascii="Calibri" w:eastAsia="Calibri" w:hAnsi="Calibri"/>
          <w:bCs/>
          <w:sz w:val="16"/>
          <w:szCs w:val="16"/>
          <w:lang w:val="en-US" w:eastAsia="en-US"/>
        </w:rPr>
        <w:t xml:space="preserve"> 2007</w:t>
      </w:r>
    </w:p>
    <w:p w:rsidR="000626BB" w:rsidRDefault="000626BB" w:rsidP="0088722D">
      <w:pPr>
        <w:spacing w:after="200" w:line="276" w:lineRule="auto"/>
        <w:jc w:val="both"/>
        <w:rPr>
          <w:rFonts w:ascii="Calibri" w:eastAsia="Calibri" w:hAnsi="Calibri"/>
          <w:bCs/>
          <w:sz w:val="22"/>
          <w:szCs w:val="20"/>
          <w:lang w:val="en-US" w:eastAsia="en-US"/>
        </w:rPr>
      </w:pPr>
    </w:p>
    <w:p w:rsidR="002B6045" w:rsidRPr="0088722D" w:rsidRDefault="002B6045"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Another important aspect to take into consideration is the </w:t>
      </w:r>
      <w:r w:rsidR="00FE1AC7">
        <w:rPr>
          <w:rFonts w:ascii="Calibri" w:eastAsia="Calibri" w:hAnsi="Calibri"/>
          <w:bCs/>
          <w:sz w:val="22"/>
          <w:szCs w:val="20"/>
          <w:lang w:val="en-US" w:eastAsia="en-US"/>
        </w:rPr>
        <w:t xml:space="preserve">different </w:t>
      </w:r>
      <w:r w:rsidRPr="0088722D">
        <w:rPr>
          <w:rFonts w:ascii="Calibri" w:eastAsia="Calibri" w:hAnsi="Calibri"/>
          <w:bCs/>
          <w:sz w:val="22"/>
          <w:szCs w:val="20"/>
          <w:lang w:val="en-US" w:eastAsia="en-US"/>
        </w:rPr>
        <w:t xml:space="preserve">sources of water. </w:t>
      </w:r>
      <w:r w:rsidR="00D6481F">
        <w:rPr>
          <w:rFonts w:ascii="Calibri" w:eastAsia="Calibri" w:hAnsi="Calibri"/>
          <w:bCs/>
          <w:sz w:val="22"/>
          <w:szCs w:val="20"/>
          <w:lang w:val="en-US" w:eastAsia="en-US"/>
        </w:rPr>
        <w:t>I</w:t>
      </w:r>
      <w:r w:rsidR="001354E8">
        <w:rPr>
          <w:rFonts w:ascii="Calibri" w:eastAsia="Calibri" w:hAnsi="Calibri"/>
          <w:bCs/>
          <w:sz w:val="22"/>
          <w:szCs w:val="20"/>
          <w:lang w:val="en-US" w:eastAsia="en-US"/>
        </w:rPr>
        <w:t>t</w:t>
      </w:r>
      <w:r w:rsidR="00D6481F">
        <w:rPr>
          <w:rFonts w:ascii="Calibri" w:eastAsia="Calibri" w:hAnsi="Calibri"/>
          <w:bCs/>
          <w:sz w:val="22"/>
          <w:szCs w:val="20"/>
          <w:lang w:val="en-US" w:eastAsia="en-US"/>
        </w:rPr>
        <w:t xml:space="preserve"> can be seen in Figure 3 that t</w:t>
      </w:r>
      <w:r w:rsidR="00D6481F" w:rsidRPr="0088722D">
        <w:rPr>
          <w:rFonts w:ascii="Calibri" w:eastAsia="Calibri" w:hAnsi="Calibri"/>
          <w:bCs/>
          <w:sz w:val="22"/>
          <w:szCs w:val="20"/>
          <w:lang w:val="en-US" w:eastAsia="en-US"/>
        </w:rPr>
        <w:t>he main source is the private connection one, which is due largely to the fact that the majority of the population lives in cities</w:t>
      </w:r>
      <w:r w:rsidR="00FE1AC7">
        <w:rPr>
          <w:rFonts w:ascii="Calibri" w:eastAsia="Calibri" w:hAnsi="Calibri"/>
          <w:bCs/>
          <w:sz w:val="22"/>
          <w:szCs w:val="20"/>
          <w:lang w:val="en-US" w:eastAsia="en-US"/>
        </w:rPr>
        <w:t>, but still the percentage is well below the urbanization rate</w:t>
      </w:r>
      <w:r w:rsidR="00D6481F" w:rsidRPr="0088722D">
        <w:rPr>
          <w:rFonts w:ascii="Calibri" w:eastAsia="Calibri" w:hAnsi="Calibri"/>
          <w:bCs/>
          <w:sz w:val="22"/>
          <w:szCs w:val="20"/>
          <w:lang w:val="en-US" w:eastAsia="en-US"/>
        </w:rPr>
        <w:t>.</w:t>
      </w:r>
    </w:p>
    <w:p w:rsidR="002B6045" w:rsidRPr="00590283" w:rsidRDefault="00590283" w:rsidP="003D4097">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2B6045" w:rsidRPr="00590283">
        <w:rPr>
          <w:rFonts w:ascii="Calibri" w:eastAsia="Calibri" w:hAnsi="Calibri"/>
          <w:color w:val="4F81BD"/>
          <w:sz w:val="22"/>
          <w:szCs w:val="22"/>
          <w:lang w:val="en-US" w:eastAsia="en-US"/>
        </w:rPr>
        <w:lastRenderedPageBreak/>
        <w:t xml:space="preserve">Figure </w:t>
      </w:r>
      <w:r w:rsidR="00DD7CFF" w:rsidRPr="00590283">
        <w:rPr>
          <w:rFonts w:ascii="Calibri" w:eastAsia="Calibri" w:hAnsi="Calibri"/>
          <w:color w:val="4F81BD"/>
          <w:sz w:val="22"/>
          <w:szCs w:val="22"/>
          <w:lang w:val="en-US" w:eastAsia="en-US"/>
        </w:rPr>
        <w:fldChar w:fldCharType="begin"/>
      </w:r>
      <w:r w:rsidR="002B6045" w:rsidRPr="00590283">
        <w:rPr>
          <w:rFonts w:ascii="Calibri" w:eastAsia="Calibri" w:hAnsi="Calibri"/>
          <w:color w:val="4F81BD"/>
          <w:sz w:val="22"/>
          <w:szCs w:val="22"/>
          <w:lang w:val="en-US" w:eastAsia="en-US"/>
        </w:rPr>
        <w:instrText xml:space="preserve"> SEQ Figure \* ARABIC </w:instrText>
      </w:r>
      <w:r w:rsidR="00DD7CFF" w:rsidRPr="00590283">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3</w:t>
      </w:r>
      <w:r w:rsidR="00DD7CFF" w:rsidRPr="00590283">
        <w:rPr>
          <w:rFonts w:ascii="Calibri" w:eastAsia="Calibri" w:hAnsi="Calibri"/>
          <w:color w:val="4F81BD"/>
          <w:sz w:val="22"/>
          <w:szCs w:val="22"/>
          <w:lang w:val="en-US" w:eastAsia="en-US"/>
        </w:rPr>
        <w:fldChar w:fldCharType="end"/>
      </w:r>
      <w:r>
        <w:rPr>
          <w:rFonts w:ascii="Calibri" w:eastAsia="Calibri" w:hAnsi="Calibri"/>
          <w:color w:val="4F81BD"/>
          <w:sz w:val="22"/>
          <w:szCs w:val="22"/>
          <w:lang w:val="en-US" w:eastAsia="en-US"/>
        </w:rPr>
        <w:t>:</w:t>
      </w:r>
      <w:r w:rsidR="002B6045" w:rsidRPr="00590283">
        <w:rPr>
          <w:rFonts w:ascii="Calibri" w:eastAsia="Calibri" w:hAnsi="Calibri"/>
          <w:color w:val="4F81BD"/>
          <w:sz w:val="22"/>
          <w:szCs w:val="22"/>
          <w:lang w:val="en-US" w:eastAsia="en-US"/>
        </w:rPr>
        <w:t xml:space="preserve"> Water Sources</w:t>
      </w:r>
    </w:p>
    <w:p w:rsidR="002B6045" w:rsidRPr="0088722D" w:rsidRDefault="00786AEB" w:rsidP="003D4097">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813175" cy="19754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813175" cy="1975485"/>
                    </a:xfrm>
                    <a:prstGeom prst="rect">
                      <a:avLst/>
                    </a:prstGeom>
                    <a:noFill/>
                    <a:ln w="9525">
                      <a:noFill/>
                      <a:miter lim="800000"/>
                      <a:headEnd/>
                      <a:tailEnd/>
                    </a:ln>
                  </pic:spPr>
                </pic:pic>
              </a:graphicData>
            </a:graphic>
          </wp:inline>
        </w:drawing>
      </w:r>
    </w:p>
    <w:p w:rsidR="002B6045" w:rsidRPr="003D4097" w:rsidRDefault="002B6045" w:rsidP="0088722D">
      <w:pPr>
        <w:spacing w:after="200" w:line="276" w:lineRule="auto"/>
        <w:jc w:val="both"/>
        <w:rPr>
          <w:rFonts w:ascii="Calibri" w:eastAsia="Calibri" w:hAnsi="Calibri"/>
          <w:bCs/>
          <w:sz w:val="16"/>
          <w:szCs w:val="16"/>
          <w:lang w:val="en-US" w:eastAsia="en-US"/>
        </w:rPr>
      </w:pPr>
      <w:r w:rsidRPr="003D4097">
        <w:rPr>
          <w:rFonts w:ascii="Calibri" w:eastAsia="Calibri" w:hAnsi="Calibri"/>
          <w:bCs/>
          <w:sz w:val="16"/>
          <w:szCs w:val="16"/>
          <w:lang w:val="en-US" w:eastAsia="en-US"/>
        </w:rPr>
        <w:t xml:space="preserve">     </w:t>
      </w:r>
      <w:r w:rsidR="0060342F" w:rsidRPr="003D4097">
        <w:rPr>
          <w:rFonts w:ascii="Calibri" w:eastAsia="Calibri" w:hAnsi="Calibri"/>
          <w:bCs/>
          <w:sz w:val="16"/>
          <w:szCs w:val="16"/>
          <w:lang w:val="en-US" w:eastAsia="en-US"/>
        </w:rPr>
        <w:tab/>
      </w:r>
      <w:r w:rsidR="00A4718F">
        <w:rPr>
          <w:rFonts w:ascii="Calibri" w:eastAsia="Calibri" w:hAnsi="Calibri"/>
          <w:bCs/>
          <w:sz w:val="16"/>
          <w:szCs w:val="16"/>
          <w:lang w:val="en-US" w:eastAsia="en-US"/>
        </w:rPr>
        <w:tab/>
      </w:r>
      <w:r w:rsidRPr="003D4097">
        <w:rPr>
          <w:rFonts w:ascii="Calibri" w:eastAsia="Calibri" w:hAnsi="Calibri"/>
          <w:bCs/>
          <w:sz w:val="16"/>
          <w:szCs w:val="16"/>
          <w:lang w:val="en-US" w:eastAsia="en-US"/>
        </w:rPr>
        <w:t>Source: Cens</w:t>
      </w:r>
      <w:r w:rsidR="005F2D8E">
        <w:rPr>
          <w:rFonts w:ascii="Calibri" w:eastAsia="Calibri" w:hAnsi="Calibri"/>
          <w:bCs/>
          <w:sz w:val="16"/>
          <w:szCs w:val="16"/>
          <w:lang w:val="en-US" w:eastAsia="en-US"/>
        </w:rPr>
        <w:t>us</w:t>
      </w:r>
      <w:r w:rsidRPr="003D4097">
        <w:rPr>
          <w:rFonts w:ascii="Calibri" w:eastAsia="Calibri" w:hAnsi="Calibri"/>
          <w:bCs/>
          <w:sz w:val="16"/>
          <w:szCs w:val="16"/>
          <w:lang w:val="en-US" w:eastAsia="en-US"/>
        </w:rPr>
        <w:t xml:space="preserve"> 2007</w:t>
      </w:r>
    </w:p>
    <w:p w:rsidR="002B6045" w:rsidRPr="0088722D" w:rsidRDefault="00337684"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If the sample is divided into urban an</w:t>
      </w:r>
      <w:r w:rsidR="0095651E" w:rsidRPr="0088722D">
        <w:rPr>
          <w:rFonts w:ascii="Calibri" w:eastAsia="Calibri" w:hAnsi="Calibri"/>
          <w:bCs/>
          <w:sz w:val="22"/>
          <w:szCs w:val="20"/>
          <w:lang w:val="en-US" w:eastAsia="en-US"/>
        </w:rPr>
        <w:t>d</w:t>
      </w:r>
      <w:r w:rsidRPr="0088722D">
        <w:rPr>
          <w:rFonts w:ascii="Calibri" w:eastAsia="Calibri" w:hAnsi="Calibri"/>
          <w:bCs/>
          <w:sz w:val="22"/>
          <w:szCs w:val="20"/>
          <w:lang w:val="en-US" w:eastAsia="en-US"/>
        </w:rPr>
        <w:t xml:space="preserve"> rural, almost 70% of the people in cities </w:t>
      </w:r>
      <w:r w:rsidR="006971C5" w:rsidRPr="0088722D">
        <w:rPr>
          <w:rFonts w:ascii="Calibri" w:eastAsia="Calibri" w:hAnsi="Calibri"/>
          <w:bCs/>
          <w:sz w:val="22"/>
          <w:szCs w:val="20"/>
          <w:lang w:val="en-US" w:eastAsia="en-US"/>
        </w:rPr>
        <w:t>have</w:t>
      </w:r>
      <w:r w:rsidRPr="0088722D">
        <w:rPr>
          <w:rFonts w:ascii="Calibri" w:eastAsia="Calibri" w:hAnsi="Calibri"/>
          <w:bCs/>
          <w:sz w:val="22"/>
          <w:szCs w:val="20"/>
          <w:lang w:val="en-US" w:eastAsia="en-US"/>
        </w:rPr>
        <w:t xml:space="preserve"> private connections and the rest of the options are fairly distributed. However, in the rural areas, just 13% have </w:t>
      </w:r>
      <w:r w:rsidR="0095651E" w:rsidRPr="0088722D">
        <w:rPr>
          <w:rFonts w:ascii="Calibri" w:eastAsia="Calibri" w:hAnsi="Calibri"/>
          <w:bCs/>
          <w:sz w:val="22"/>
          <w:szCs w:val="20"/>
          <w:lang w:val="en-US" w:eastAsia="en-US"/>
        </w:rPr>
        <w:t>this type</w:t>
      </w:r>
      <w:r w:rsidR="00FE1AC7">
        <w:rPr>
          <w:rFonts w:ascii="Calibri" w:eastAsia="Calibri" w:hAnsi="Calibri"/>
          <w:bCs/>
          <w:sz w:val="22"/>
          <w:szCs w:val="20"/>
          <w:lang w:val="en-US" w:eastAsia="en-US"/>
        </w:rPr>
        <w:t xml:space="preserve"> of water provision</w:t>
      </w:r>
      <w:r w:rsidR="002938BA" w:rsidRPr="0088722D">
        <w:rPr>
          <w:rFonts w:ascii="Calibri" w:eastAsia="Calibri" w:hAnsi="Calibri"/>
          <w:bCs/>
          <w:sz w:val="22"/>
          <w:szCs w:val="20"/>
          <w:lang w:val="en-US" w:eastAsia="en-US"/>
        </w:rPr>
        <w:t>.</w:t>
      </w:r>
      <w:r w:rsidR="00255EE5" w:rsidRPr="00255EE5">
        <w:rPr>
          <w:rFonts w:ascii="Calibri" w:eastAsia="Calibri" w:hAnsi="Calibri"/>
          <w:bCs/>
          <w:sz w:val="22"/>
          <w:szCs w:val="20"/>
          <w:lang w:val="en-US" w:eastAsia="en-US"/>
        </w:rPr>
        <w:t xml:space="preserve"> </w:t>
      </w:r>
      <w:r w:rsidR="00255EE5" w:rsidRPr="0088722D">
        <w:rPr>
          <w:rFonts w:ascii="Calibri" w:eastAsia="Calibri" w:hAnsi="Calibri"/>
          <w:bCs/>
          <w:sz w:val="22"/>
          <w:szCs w:val="20"/>
          <w:lang w:val="en-US" w:eastAsia="en-US"/>
        </w:rPr>
        <w:t>As can be seen in Figure</w:t>
      </w:r>
      <w:r w:rsidR="00255EE5">
        <w:rPr>
          <w:rFonts w:ascii="Calibri" w:eastAsia="Calibri" w:hAnsi="Calibri"/>
          <w:bCs/>
          <w:sz w:val="22"/>
          <w:szCs w:val="20"/>
          <w:lang w:val="en-US" w:eastAsia="en-US"/>
        </w:rPr>
        <w:t xml:space="preserve"> 4</w:t>
      </w:r>
      <w:r w:rsidR="00255EE5" w:rsidRPr="0088722D">
        <w:rPr>
          <w:rFonts w:ascii="Calibri" w:eastAsia="Calibri" w:hAnsi="Calibri"/>
          <w:bCs/>
          <w:sz w:val="22"/>
          <w:szCs w:val="20"/>
          <w:lang w:val="en-US" w:eastAsia="en-US"/>
        </w:rPr>
        <w:t>, half of the water use</w:t>
      </w:r>
      <w:r w:rsidR="00FE1AC7">
        <w:rPr>
          <w:rFonts w:ascii="Calibri" w:eastAsia="Calibri" w:hAnsi="Calibri"/>
          <w:bCs/>
          <w:sz w:val="22"/>
          <w:szCs w:val="20"/>
          <w:lang w:val="en-US" w:eastAsia="en-US"/>
        </w:rPr>
        <w:t>d</w:t>
      </w:r>
      <w:r w:rsidR="00255EE5" w:rsidRPr="0088722D">
        <w:rPr>
          <w:rFonts w:ascii="Calibri" w:eastAsia="Calibri" w:hAnsi="Calibri"/>
          <w:bCs/>
          <w:sz w:val="22"/>
          <w:szCs w:val="20"/>
          <w:lang w:val="en-US" w:eastAsia="en-US"/>
        </w:rPr>
        <w:t xml:space="preserve"> comes from natural sources like rivers and springs. In second place </w:t>
      </w:r>
      <w:r w:rsidR="00FE1AC7">
        <w:rPr>
          <w:rFonts w:ascii="Calibri" w:eastAsia="Calibri" w:hAnsi="Calibri"/>
          <w:bCs/>
          <w:sz w:val="22"/>
          <w:szCs w:val="20"/>
          <w:lang w:val="en-US" w:eastAsia="en-US"/>
        </w:rPr>
        <w:t xml:space="preserve">is </w:t>
      </w:r>
      <w:r w:rsidR="00255EE5" w:rsidRPr="0088722D">
        <w:rPr>
          <w:rFonts w:ascii="Calibri" w:eastAsia="Calibri" w:hAnsi="Calibri"/>
          <w:bCs/>
          <w:sz w:val="22"/>
          <w:szCs w:val="20"/>
          <w:lang w:val="en-US" w:eastAsia="en-US"/>
        </w:rPr>
        <w:t xml:space="preserve">wells and in third, private connections. The problem with this distribution is that most of these sources are not reliable </w:t>
      </w:r>
      <w:r w:rsidR="00FE1AC7">
        <w:rPr>
          <w:rFonts w:ascii="Calibri" w:eastAsia="Calibri" w:hAnsi="Calibri"/>
          <w:bCs/>
          <w:sz w:val="22"/>
          <w:szCs w:val="20"/>
          <w:lang w:val="en-US" w:eastAsia="en-US"/>
        </w:rPr>
        <w:t xml:space="preserve">as a source of drinking water </w:t>
      </w:r>
      <w:r w:rsidR="00255EE5" w:rsidRPr="0088722D">
        <w:rPr>
          <w:rFonts w:ascii="Calibri" w:eastAsia="Calibri" w:hAnsi="Calibri"/>
          <w:bCs/>
          <w:sz w:val="22"/>
          <w:szCs w:val="20"/>
          <w:lang w:val="en-US" w:eastAsia="en-US"/>
        </w:rPr>
        <w:t>and may expose the population to diseases.</w:t>
      </w:r>
    </w:p>
    <w:p w:rsidR="002938BA" w:rsidRPr="00590283" w:rsidRDefault="002938BA" w:rsidP="003D4097">
      <w:pPr>
        <w:pStyle w:val="Epgrafe"/>
        <w:jc w:val="center"/>
        <w:rPr>
          <w:rFonts w:ascii="Calibri" w:eastAsia="Calibri" w:hAnsi="Calibri"/>
          <w:color w:val="4F81BD"/>
          <w:sz w:val="22"/>
          <w:szCs w:val="22"/>
          <w:lang w:val="en-US" w:eastAsia="en-US"/>
        </w:rPr>
      </w:pPr>
      <w:r w:rsidRPr="00590283">
        <w:rPr>
          <w:rFonts w:ascii="Calibri" w:eastAsia="Calibri" w:hAnsi="Calibri"/>
          <w:color w:val="4F81BD"/>
          <w:sz w:val="22"/>
          <w:szCs w:val="22"/>
          <w:lang w:val="en-US" w:eastAsia="en-US"/>
        </w:rPr>
        <w:t xml:space="preserve">Figure </w:t>
      </w:r>
      <w:r w:rsidR="00DD7CFF" w:rsidRPr="00590283">
        <w:rPr>
          <w:rFonts w:ascii="Calibri" w:eastAsia="Calibri" w:hAnsi="Calibri"/>
          <w:color w:val="4F81BD"/>
          <w:sz w:val="22"/>
          <w:szCs w:val="22"/>
          <w:lang w:val="en-US" w:eastAsia="en-US"/>
        </w:rPr>
        <w:fldChar w:fldCharType="begin"/>
      </w:r>
      <w:r w:rsidRPr="00590283">
        <w:rPr>
          <w:rFonts w:ascii="Calibri" w:eastAsia="Calibri" w:hAnsi="Calibri"/>
          <w:color w:val="4F81BD"/>
          <w:sz w:val="22"/>
          <w:szCs w:val="22"/>
          <w:lang w:val="en-US" w:eastAsia="en-US"/>
        </w:rPr>
        <w:instrText xml:space="preserve"> SEQ Figure \* ARABIC </w:instrText>
      </w:r>
      <w:r w:rsidR="00DD7CFF" w:rsidRPr="00590283">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4</w:t>
      </w:r>
      <w:r w:rsidR="00DD7CFF" w:rsidRPr="00590283">
        <w:rPr>
          <w:rFonts w:ascii="Calibri" w:eastAsia="Calibri" w:hAnsi="Calibri"/>
          <w:color w:val="4F81BD"/>
          <w:sz w:val="22"/>
          <w:szCs w:val="22"/>
          <w:lang w:val="en-US" w:eastAsia="en-US"/>
        </w:rPr>
        <w:fldChar w:fldCharType="end"/>
      </w:r>
      <w:r w:rsidR="00590283">
        <w:rPr>
          <w:rFonts w:ascii="Calibri" w:eastAsia="Calibri" w:hAnsi="Calibri"/>
          <w:color w:val="4F81BD"/>
          <w:sz w:val="22"/>
          <w:szCs w:val="22"/>
          <w:lang w:val="en-US" w:eastAsia="en-US"/>
        </w:rPr>
        <w:t>:</w:t>
      </w:r>
      <w:r w:rsidRPr="00590283">
        <w:rPr>
          <w:rFonts w:ascii="Calibri" w:eastAsia="Calibri" w:hAnsi="Calibri"/>
          <w:color w:val="4F81BD"/>
          <w:sz w:val="22"/>
          <w:szCs w:val="22"/>
          <w:lang w:val="en-US" w:eastAsia="en-US"/>
        </w:rPr>
        <w:t xml:space="preserve"> Water Sources in Rural Areas</w:t>
      </w:r>
    </w:p>
    <w:p w:rsidR="002938BA" w:rsidRPr="0088722D" w:rsidRDefault="00786AEB" w:rsidP="003D4097">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4045585" cy="19754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045585" cy="1975485"/>
                    </a:xfrm>
                    <a:prstGeom prst="rect">
                      <a:avLst/>
                    </a:prstGeom>
                    <a:noFill/>
                    <a:ln w="9525">
                      <a:noFill/>
                      <a:miter lim="800000"/>
                      <a:headEnd/>
                      <a:tailEnd/>
                    </a:ln>
                  </pic:spPr>
                </pic:pic>
              </a:graphicData>
            </a:graphic>
          </wp:inline>
        </w:drawing>
      </w:r>
    </w:p>
    <w:p w:rsidR="002B6045" w:rsidRPr="003D4097" w:rsidRDefault="002938BA" w:rsidP="0088722D">
      <w:pPr>
        <w:spacing w:after="200" w:line="276" w:lineRule="auto"/>
        <w:jc w:val="both"/>
        <w:rPr>
          <w:rFonts w:ascii="Calibri" w:eastAsia="Calibri" w:hAnsi="Calibri"/>
          <w:bCs/>
          <w:sz w:val="16"/>
          <w:szCs w:val="16"/>
          <w:lang w:val="en-US" w:eastAsia="en-US"/>
        </w:rPr>
      </w:pPr>
      <w:r w:rsidRPr="003D4097">
        <w:rPr>
          <w:rFonts w:ascii="Calibri" w:eastAsia="Calibri" w:hAnsi="Calibri"/>
          <w:bCs/>
          <w:sz w:val="16"/>
          <w:szCs w:val="16"/>
          <w:lang w:val="en-US" w:eastAsia="en-US"/>
        </w:rPr>
        <w:t xml:space="preserve">  </w:t>
      </w:r>
      <w:r w:rsidR="0060342F" w:rsidRPr="003D4097">
        <w:rPr>
          <w:rFonts w:ascii="Calibri" w:eastAsia="Calibri" w:hAnsi="Calibri"/>
          <w:bCs/>
          <w:sz w:val="16"/>
          <w:szCs w:val="16"/>
          <w:lang w:val="en-US" w:eastAsia="en-US"/>
        </w:rPr>
        <w:tab/>
        <w:t xml:space="preserve">         </w:t>
      </w:r>
      <w:r w:rsidRPr="003D4097">
        <w:rPr>
          <w:rFonts w:ascii="Calibri" w:eastAsia="Calibri" w:hAnsi="Calibri"/>
          <w:bCs/>
          <w:sz w:val="16"/>
          <w:szCs w:val="16"/>
          <w:lang w:val="en-US" w:eastAsia="en-US"/>
        </w:rPr>
        <w:t>Source: Cens</w:t>
      </w:r>
      <w:r w:rsidR="005F2D8E">
        <w:rPr>
          <w:rFonts w:ascii="Calibri" w:eastAsia="Calibri" w:hAnsi="Calibri"/>
          <w:bCs/>
          <w:sz w:val="16"/>
          <w:szCs w:val="16"/>
          <w:lang w:val="en-US" w:eastAsia="en-US"/>
        </w:rPr>
        <w:t>us</w:t>
      </w:r>
      <w:r w:rsidRPr="003D4097">
        <w:rPr>
          <w:rFonts w:ascii="Calibri" w:eastAsia="Calibri" w:hAnsi="Calibri"/>
          <w:bCs/>
          <w:sz w:val="16"/>
          <w:szCs w:val="16"/>
          <w:lang w:val="en-US" w:eastAsia="en-US"/>
        </w:rPr>
        <w:t xml:space="preserve"> 2007</w:t>
      </w:r>
    </w:p>
    <w:p w:rsidR="00571AA5" w:rsidRPr="0088722D" w:rsidRDefault="00571AA5"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It is also important to evaluate the quality of the service provided. One way of doing this is to k</w:t>
      </w:r>
      <w:r w:rsidR="00C5314B" w:rsidRPr="0088722D">
        <w:rPr>
          <w:rFonts w:ascii="Calibri" w:eastAsia="Calibri" w:hAnsi="Calibri"/>
          <w:bCs/>
          <w:sz w:val="22"/>
          <w:szCs w:val="20"/>
          <w:lang w:val="en-US" w:eastAsia="en-US"/>
        </w:rPr>
        <w:t xml:space="preserve">now if the people have water </w:t>
      </w:r>
      <w:r w:rsidRPr="0088722D">
        <w:rPr>
          <w:rFonts w:ascii="Calibri" w:eastAsia="Calibri" w:hAnsi="Calibri"/>
          <w:bCs/>
          <w:sz w:val="22"/>
          <w:szCs w:val="20"/>
          <w:lang w:val="en-US" w:eastAsia="en-US"/>
        </w:rPr>
        <w:t xml:space="preserve">all the days of the week. For the </w:t>
      </w:r>
      <w:r w:rsidR="00C81A52" w:rsidRPr="0088722D">
        <w:rPr>
          <w:rFonts w:ascii="Calibri" w:eastAsia="Calibri" w:hAnsi="Calibri"/>
          <w:bCs/>
          <w:sz w:val="22"/>
          <w:szCs w:val="20"/>
          <w:lang w:val="en-US" w:eastAsia="en-US"/>
        </w:rPr>
        <w:t xml:space="preserve">urban areas, only 10% do not have water </w:t>
      </w:r>
      <w:r w:rsidR="00FE1AC7" w:rsidRPr="0088722D">
        <w:rPr>
          <w:rFonts w:ascii="Calibri" w:eastAsia="Calibri" w:hAnsi="Calibri"/>
          <w:bCs/>
          <w:sz w:val="22"/>
          <w:szCs w:val="20"/>
          <w:lang w:val="en-US" w:eastAsia="en-US"/>
        </w:rPr>
        <w:t>every day</w:t>
      </w:r>
      <w:r w:rsidR="009D0EEF" w:rsidRPr="0088722D">
        <w:rPr>
          <w:rFonts w:ascii="Calibri" w:eastAsia="Calibri" w:hAnsi="Calibri"/>
          <w:bCs/>
          <w:sz w:val="22"/>
          <w:szCs w:val="20"/>
          <w:lang w:val="en-US" w:eastAsia="en-US"/>
        </w:rPr>
        <w:t>.</w:t>
      </w:r>
    </w:p>
    <w:p w:rsidR="009D0EEF" w:rsidRPr="0088722D" w:rsidRDefault="009D0EEF"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In the case of the rural ones, this percentage increase</w:t>
      </w:r>
      <w:r w:rsidR="00FE1AC7">
        <w:rPr>
          <w:rFonts w:ascii="Calibri" w:eastAsia="Calibri" w:hAnsi="Calibri"/>
          <w:bCs/>
          <w:sz w:val="22"/>
          <w:szCs w:val="20"/>
          <w:lang w:val="en-US" w:eastAsia="en-US"/>
        </w:rPr>
        <w:t>s</w:t>
      </w:r>
      <w:r w:rsidRPr="0088722D">
        <w:rPr>
          <w:rFonts w:ascii="Calibri" w:eastAsia="Calibri" w:hAnsi="Calibri"/>
          <w:bCs/>
          <w:sz w:val="22"/>
          <w:szCs w:val="20"/>
          <w:lang w:val="en-US" w:eastAsia="en-US"/>
        </w:rPr>
        <w:t xml:space="preserve"> to 14%. Therefore is important to know within this group how many days exactly they do have it. Figure </w:t>
      </w:r>
      <w:r w:rsidR="00486F83">
        <w:rPr>
          <w:rFonts w:ascii="Calibri" w:eastAsia="Calibri" w:hAnsi="Calibri"/>
          <w:bCs/>
          <w:sz w:val="22"/>
          <w:szCs w:val="20"/>
          <w:lang w:val="en-US" w:eastAsia="en-US"/>
        </w:rPr>
        <w:t>5</w:t>
      </w:r>
      <w:r w:rsidRPr="0088722D">
        <w:rPr>
          <w:rFonts w:ascii="Calibri" w:eastAsia="Calibri" w:hAnsi="Calibri"/>
          <w:bCs/>
          <w:sz w:val="22"/>
          <w:szCs w:val="20"/>
          <w:lang w:val="en-US" w:eastAsia="en-US"/>
        </w:rPr>
        <w:t xml:space="preserve"> shows that </w:t>
      </w:r>
      <w:r w:rsidR="008E0537" w:rsidRPr="0088722D">
        <w:rPr>
          <w:rFonts w:ascii="Calibri" w:eastAsia="Calibri" w:hAnsi="Calibri"/>
          <w:bCs/>
          <w:sz w:val="22"/>
          <w:szCs w:val="20"/>
          <w:lang w:val="en-US" w:eastAsia="en-US"/>
        </w:rPr>
        <w:t xml:space="preserve">there are still a large number of </w:t>
      </w:r>
      <w:r w:rsidR="00FE1AC7">
        <w:rPr>
          <w:rFonts w:ascii="Calibri" w:eastAsia="Calibri" w:hAnsi="Calibri"/>
          <w:bCs/>
          <w:sz w:val="22"/>
          <w:szCs w:val="20"/>
          <w:lang w:val="en-US" w:eastAsia="en-US"/>
        </w:rPr>
        <w:t xml:space="preserve">rural </w:t>
      </w:r>
      <w:r w:rsidR="008E0537" w:rsidRPr="0088722D">
        <w:rPr>
          <w:rFonts w:ascii="Calibri" w:eastAsia="Calibri" w:hAnsi="Calibri"/>
          <w:bCs/>
          <w:sz w:val="22"/>
          <w:szCs w:val="20"/>
          <w:lang w:val="en-US" w:eastAsia="en-US"/>
        </w:rPr>
        <w:t>house</w:t>
      </w:r>
      <w:r w:rsidR="00FE1AC7">
        <w:rPr>
          <w:rFonts w:ascii="Calibri" w:eastAsia="Calibri" w:hAnsi="Calibri"/>
          <w:bCs/>
          <w:sz w:val="22"/>
          <w:szCs w:val="20"/>
          <w:lang w:val="en-US" w:eastAsia="en-US"/>
        </w:rPr>
        <w:t>hold</w:t>
      </w:r>
      <w:r w:rsidR="008E0537" w:rsidRPr="0088722D">
        <w:rPr>
          <w:rFonts w:ascii="Calibri" w:eastAsia="Calibri" w:hAnsi="Calibri"/>
          <w:bCs/>
          <w:sz w:val="22"/>
          <w:szCs w:val="20"/>
          <w:lang w:val="en-US" w:eastAsia="en-US"/>
        </w:rPr>
        <w:t>s that just have the service for one or two days.</w:t>
      </w:r>
    </w:p>
    <w:p w:rsidR="009D0EEF" w:rsidRPr="0088722D" w:rsidRDefault="009D0EEF" w:rsidP="0088722D">
      <w:pPr>
        <w:spacing w:after="200" w:line="276" w:lineRule="auto"/>
        <w:jc w:val="both"/>
        <w:rPr>
          <w:rFonts w:ascii="Calibri" w:eastAsia="Calibri" w:hAnsi="Calibri"/>
          <w:bCs/>
          <w:sz w:val="22"/>
          <w:szCs w:val="20"/>
          <w:lang w:val="en-US" w:eastAsia="en-US"/>
        </w:rPr>
      </w:pPr>
    </w:p>
    <w:p w:rsidR="009D0EEF" w:rsidRPr="00590283" w:rsidRDefault="00486F83" w:rsidP="003D4097">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9D0EEF" w:rsidRPr="00590283">
        <w:rPr>
          <w:rFonts w:ascii="Calibri" w:eastAsia="Calibri" w:hAnsi="Calibri"/>
          <w:color w:val="4F81BD"/>
          <w:sz w:val="22"/>
          <w:szCs w:val="22"/>
          <w:lang w:val="en-US" w:eastAsia="en-US"/>
        </w:rPr>
        <w:lastRenderedPageBreak/>
        <w:t>Figure</w:t>
      </w:r>
      <w:r w:rsidR="00D700C1">
        <w:rPr>
          <w:rFonts w:ascii="Calibri" w:eastAsia="Calibri" w:hAnsi="Calibri"/>
          <w:color w:val="4F81BD"/>
          <w:sz w:val="22"/>
          <w:szCs w:val="22"/>
          <w:lang w:val="en-US" w:eastAsia="en-US"/>
        </w:rPr>
        <w:t xml:space="preserve"> 5</w:t>
      </w:r>
      <w:r w:rsidR="009D0EEF" w:rsidRPr="00590283">
        <w:rPr>
          <w:rFonts w:ascii="Calibri" w:eastAsia="Calibri" w:hAnsi="Calibri"/>
          <w:color w:val="4F81BD"/>
          <w:sz w:val="22"/>
          <w:szCs w:val="22"/>
          <w:lang w:val="en-US" w:eastAsia="en-US"/>
        </w:rPr>
        <w:t>: Number of Days</w:t>
      </w:r>
      <w:r w:rsidR="008E0537" w:rsidRPr="00590283">
        <w:rPr>
          <w:rFonts w:ascii="Calibri" w:eastAsia="Calibri" w:hAnsi="Calibri"/>
          <w:color w:val="4F81BD"/>
          <w:sz w:val="22"/>
          <w:szCs w:val="22"/>
          <w:lang w:val="en-US" w:eastAsia="en-US"/>
        </w:rPr>
        <w:t xml:space="preserve"> with</w:t>
      </w:r>
      <w:r w:rsidR="009D0EEF" w:rsidRPr="00590283">
        <w:rPr>
          <w:rFonts w:ascii="Calibri" w:eastAsia="Calibri" w:hAnsi="Calibri"/>
          <w:color w:val="4F81BD"/>
          <w:sz w:val="22"/>
          <w:szCs w:val="22"/>
          <w:lang w:val="en-US" w:eastAsia="en-US"/>
        </w:rPr>
        <w:t xml:space="preserve"> Water Service</w:t>
      </w:r>
      <w:r w:rsidR="008E0537" w:rsidRPr="00590283">
        <w:rPr>
          <w:rFonts w:ascii="Calibri" w:eastAsia="Calibri" w:hAnsi="Calibri"/>
          <w:color w:val="4F81BD"/>
          <w:sz w:val="22"/>
          <w:szCs w:val="22"/>
          <w:lang w:val="en-US" w:eastAsia="en-US"/>
        </w:rPr>
        <w:t xml:space="preserve"> </w:t>
      </w:r>
      <w:r w:rsidR="009D0EEF" w:rsidRPr="00590283">
        <w:rPr>
          <w:rFonts w:ascii="Calibri" w:eastAsia="Calibri" w:hAnsi="Calibri"/>
          <w:color w:val="4F81BD"/>
          <w:sz w:val="22"/>
          <w:szCs w:val="22"/>
          <w:lang w:val="en-US" w:eastAsia="en-US"/>
        </w:rPr>
        <w:t>in Rural Areas</w:t>
      </w:r>
      <w:r w:rsidR="00590283">
        <w:rPr>
          <w:rFonts w:ascii="Calibri" w:eastAsia="Calibri" w:hAnsi="Calibri"/>
          <w:color w:val="4F81BD"/>
          <w:sz w:val="22"/>
          <w:szCs w:val="22"/>
          <w:lang w:val="en-US" w:eastAsia="en-US"/>
        </w:rPr>
        <w:t xml:space="preserve"> (In thousands of people)</w:t>
      </w:r>
    </w:p>
    <w:p w:rsidR="00571AA5" w:rsidRPr="0088722D" w:rsidRDefault="00786AEB" w:rsidP="003D4097">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605530" cy="19234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605530" cy="1923415"/>
                    </a:xfrm>
                    <a:prstGeom prst="rect">
                      <a:avLst/>
                    </a:prstGeom>
                    <a:noFill/>
                    <a:ln w="9525">
                      <a:noFill/>
                      <a:miter lim="800000"/>
                      <a:headEnd/>
                      <a:tailEnd/>
                    </a:ln>
                  </pic:spPr>
                </pic:pic>
              </a:graphicData>
            </a:graphic>
          </wp:inline>
        </w:drawing>
      </w:r>
    </w:p>
    <w:p w:rsidR="009D0EEF" w:rsidRPr="003D4097" w:rsidRDefault="009D0EEF" w:rsidP="0088722D">
      <w:pPr>
        <w:spacing w:after="200" w:line="276" w:lineRule="auto"/>
        <w:jc w:val="both"/>
        <w:rPr>
          <w:rFonts w:ascii="Calibri" w:eastAsia="Calibri" w:hAnsi="Calibri"/>
          <w:bCs/>
          <w:sz w:val="16"/>
          <w:szCs w:val="16"/>
          <w:lang w:val="en-US" w:eastAsia="en-US"/>
        </w:rPr>
      </w:pPr>
      <w:r w:rsidRPr="003D4097">
        <w:rPr>
          <w:rFonts w:ascii="Calibri" w:eastAsia="Calibri" w:hAnsi="Calibri"/>
          <w:bCs/>
          <w:sz w:val="16"/>
          <w:szCs w:val="16"/>
          <w:lang w:val="en-US" w:eastAsia="en-US"/>
        </w:rPr>
        <w:t xml:space="preserve">        </w:t>
      </w:r>
      <w:r w:rsidR="0060342F" w:rsidRPr="003D4097">
        <w:rPr>
          <w:rFonts w:ascii="Calibri" w:eastAsia="Calibri" w:hAnsi="Calibri"/>
          <w:bCs/>
          <w:sz w:val="16"/>
          <w:szCs w:val="16"/>
          <w:lang w:val="en-US" w:eastAsia="en-US"/>
        </w:rPr>
        <w:tab/>
        <w:t xml:space="preserve">     </w:t>
      </w:r>
      <w:r w:rsidRPr="003D4097">
        <w:rPr>
          <w:rFonts w:ascii="Calibri" w:eastAsia="Calibri" w:hAnsi="Calibri"/>
          <w:bCs/>
          <w:sz w:val="16"/>
          <w:szCs w:val="16"/>
          <w:lang w:val="en-US" w:eastAsia="en-US"/>
        </w:rPr>
        <w:t xml:space="preserve"> </w:t>
      </w:r>
      <w:r w:rsidR="00A4718F">
        <w:rPr>
          <w:rFonts w:ascii="Calibri" w:eastAsia="Calibri" w:hAnsi="Calibri"/>
          <w:bCs/>
          <w:sz w:val="16"/>
          <w:szCs w:val="16"/>
          <w:lang w:val="en-US" w:eastAsia="en-US"/>
        </w:rPr>
        <w:tab/>
      </w:r>
      <w:r w:rsidRPr="003D4097">
        <w:rPr>
          <w:rFonts w:ascii="Calibri" w:eastAsia="Calibri" w:hAnsi="Calibri"/>
          <w:bCs/>
          <w:sz w:val="16"/>
          <w:szCs w:val="16"/>
          <w:lang w:val="en-US" w:eastAsia="en-US"/>
        </w:rPr>
        <w:t>Source: Cens</w:t>
      </w:r>
      <w:r w:rsidR="005F2D8E">
        <w:rPr>
          <w:rFonts w:ascii="Calibri" w:eastAsia="Calibri" w:hAnsi="Calibri"/>
          <w:bCs/>
          <w:sz w:val="16"/>
          <w:szCs w:val="16"/>
          <w:lang w:val="en-US" w:eastAsia="en-US"/>
        </w:rPr>
        <w:t>us</w:t>
      </w:r>
      <w:r w:rsidRPr="003D4097">
        <w:rPr>
          <w:rFonts w:ascii="Calibri" w:eastAsia="Calibri" w:hAnsi="Calibri"/>
          <w:bCs/>
          <w:sz w:val="16"/>
          <w:szCs w:val="16"/>
          <w:lang w:val="en-US" w:eastAsia="en-US"/>
        </w:rPr>
        <w:t xml:space="preserve"> 2007</w:t>
      </w:r>
    </w:p>
    <w:p w:rsidR="00060815" w:rsidRPr="0088722D" w:rsidRDefault="005F5670" w:rsidP="00060815">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It is also important to evaluate the </w:t>
      </w:r>
      <w:r w:rsidR="0073036C" w:rsidRPr="0088722D">
        <w:rPr>
          <w:rFonts w:ascii="Calibri" w:eastAsia="Calibri" w:hAnsi="Calibri"/>
          <w:bCs/>
          <w:sz w:val="22"/>
          <w:szCs w:val="20"/>
          <w:lang w:val="en-US" w:eastAsia="en-US"/>
        </w:rPr>
        <w:t xml:space="preserve">access to a sewerage system and facilities. </w:t>
      </w:r>
      <w:r w:rsidR="00060815" w:rsidRPr="0088722D">
        <w:rPr>
          <w:rFonts w:ascii="Calibri" w:eastAsia="Calibri" w:hAnsi="Calibri"/>
          <w:bCs/>
          <w:sz w:val="22"/>
          <w:szCs w:val="20"/>
          <w:lang w:val="en-US" w:eastAsia="en-US"/>
        </w:rPr>
        <w:t>Similarly to the case of the water supply, the principal source is the private connection. However, an important 17% does not have any type and 22% depends on latrines and cesspools</w:t>
      </w:r>
      <w:r w:rsidR="00060815">
        <w:rPr>
          <w:rFonts w:ascii="Calibri" w:eastAsia="Calibri" w:hAnsi="Calibri"/>
          <w:bCs/>
          <w:sz w:val="22"/>
          <w:szCs w:val="20"/>
          <w:lang w:val="en-US" w:eastAsia="en-US"/>
        </w:rPr>
        <w:t xml:space="preserve"> (see Figure 6)</w:t>
      </w:r>
      <w:r w:rsidR="00060815" w:rsidRPr="0088722D">
        <w:rPr>
          <w:rFonts w:ascii="Calibri" w:eastAsia="Calibri" w:hAnsi="Calibri"/>
          <w:bCs/>
          <w:sz w:val="22"/>
          <w:szCs w:val="20"/>
          <w:lang w:val="en-US" w:eastAsia="en-US"/>
        </w:rPr>
        <w:t xml:space="preserve">. </w:t>
      </w:r>
    </w:p>
    <w:p w:rsidR="00781FB0" w:rsidRPr="00706BDA" w:rsidRDefault="00781FB0" w:rsidP="003D4097">
      <w:pPr>
        <w:pStyle w:val="Epgrafe"/>
        <w:jc w:val="center"/>
        <w:rPr>
          <w:rFonts w:ascii="Calibri" w:eastAsia="Calibri" w:hAnsi="Calibri"/>
          <w:color w:val="4F81BD"/>
          <w:sz w:val="22"/>
          <w:szCs w:val="22"/>
          <w:lang w:val="en-US" w:eastAsia="en-US"/>
        </w:rPr>
      </w:pPr>
      <w:r w:rsidRPr="00706BDA">
        <w:rPr>
          <w:rFonts w:ascii="Calibri" w:eastAsia="Calibri" w:hAnsi="Calibri"/>
          <w:color w:val="4F81BD"/>
          <w:sz w:val="22"/>
          <w:szCs w:val="22"/>
          <w:lang w:val="en-US" w:eastAsia="en-US"/>
        </w:rPr>
        <w:t>Figure</w:t>
      </w:r>
      <w:r w:rsidR="00D700C1">
        <w:rPr>
          <w:rFonts w:ascii="Calibri" w:eastAsia="Calibri" w:hAnsi="Calibri"/>
          <w:color w:val="4F81BD"/>
          <w:sz w:val="22"/>
          <w:szCs w:val="22"/>
          <w:lang w:val="en-US" w:eastAsia="en-US"/>
        </w:rPr>
        <w:t xml:space="preserve"> 6</w:t>
      </w:r>
      <w:r w:rsidRPr="00706BDA">
        <w:rPr>
          <w:rFonts w:ascii="Calibri" w:eastAsia="Calibri" w:hAnsi="Calibri"/>
          <w:color w:val="4F81BD"/>
          <w:sz w:val="22"/>
          <w:szCs w:val="22"/>
          <w:lang w:val="en-US" w:eastAsia="en-US"/>
        </w:rPr>
        <w:t>: Availability of a S</w:t>
      </w:r>
      <w:r w:rsidR="00030A55" w:rsidRPr="00706BDA">
        <w:rPr>
          <w:rFonts w:ascii="Calibri" w:eastAsia="Calibri" w:hAnsi="Calibri"/>
          <w:color w:val="4F81BD"/>
          <w:sz w:val="22"/>
          <w:szCs w:val="22"/>
          <w:lang w:val="en-US" w:eastAsia="en-US"/>
        </w:rPr>
        <w:t>ewe</w:t>
      </w:r>
      <w:r w:rsidRPr="00706BDA">
        <w:rPr>
          <w:rFonts w:ascii="Calibri" w:eastAsia="Calibri" w:hAnsi="Calibri"/>
          <w:color w:val="4F81BD"/>
          <w:sz w:val="22"/>
          <w:szCs w:val="22"/>
          <w:lang w:val="en-US" w:eastAsia="en-US"/>
        </w:rPr>
        <w:t xml:space="preserve">rage </w:t>
      </w:r>
      <w:r w:rsidR="006971C5" w:rsidRPr="00706BDA">
        <w:rPr>
          <w:rFonts w:ascii="Calibri" w:eastAsia="Calibri" w:hAnsi="Calibri"/>
          <w:color w:val="4F81BD"/>
          <w:sz w:val="22"/>
          <w:szCs w:val="22"/>
          <w:lang w:val="en-US" w:eastAsia="en-US"/>
        </w:rPr>
        <w:t>S</w:t>
      </w:r>
      <w:r w:rsidRPr="00706BDA">
        <w:rPr>
          <w:rFonts w:ascii="Calibri" w:eastAsia="Calibri" w:hAnsi="Calibri"/>
          <w:color w:val="4F81BD"/>
          <w:sz w:val="22"/>
          <w:szCs w:val="22"/>
          <w:lang w:val="en-US" w:eastAsia="en-US"/>
        </w:rPr>
        <w:t xml:space="preserve">ystem </w:t>
      </w:r>
    </w:p>
    <w:p w:rsidR="00781FB0" w:rsidRPr="0088722D" w:rsidRDefault="00786AEB" w:rsidP="003D4097">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4270375" cy="26568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270375" cy="2656840"/>
                    </a:xfrm>
                    <a:prstGeom prst="rect">
                      <a:avLst/>
                    </a:prstGeom>
                    <a:noFill/>
                    <a:ln w="9525">
                      <a:noFill/>
                      <a:miter lim="800000"/>
                      <a:headEnd/>
                      <a:tailEnd/>
                    </a:ln>
                  </pic:spPr>
                </pic:pic>
              </a:graphicData>
            </a:graphic>
          </wp:inline>
        </w:drawing>
      </w:r>
    </w:p>
    <w:p w:rsidR="00781FB0" w:rsidRPr="003D4097" w:rsidRDefault="00781FB0" w:rsidP="003D4097">
      <w:pPr>
        <w:spacing w:after="200" w:line="276" w:lineRule="auto"/>
        <w:ind w:left="708" w:firstLine="708"/>
        <w:jc w:val="both"/>
        <w:rPr>
          <w:rFonts w:ascii="Calibri" w:eastAsia="Calibri" w:hAnsi="Calibri"/>
          <w:bCs/>
          <w:sz w:val="16"/>
          <w:szCs w:val="16"/>
          <w:lang w:val="en-US" w:eastAsia="en-US"/>
        </w:rPr>
      </w:pPr>
      <w:r w:rsidRPr="003D4097">
        <w:rPr>
          <w:rFonts w:ascii="Calibri" w:eastAsia="Calibri" w:hAnsi="Calibri"/>
          <w:bCs/>
          <w:sz w:val="16"/>
          <w:szCs w:val="16"/>
          <w:lang w:val="en-US" w:eastAsia="en-US"/>
        </w:rPr>
        <w:t>Source: Cens</w:t>
      </w:r>
      <w:r w:rsidR="005F2D8E">
        <w:rPr>
          <w:rFonts w:ascii="Calibri" w:eastAsia="Calibri" w:hAnsi="Calibri"/>
          <w:bCs/>
          <w:sz w:val="16"/>
          <w:szCs w:val="16"/>
          <w:lang w:val="en-US" w:eastAsia="en-US"/>
        </w:rPr>
        <w:t>us</w:t>
      </w:r>
      <w:r w:rsidRPr="003D4097">
        <w:rPr>
          <w:rFonts w:ascii="Calibri" w:eastAsia="Calibri" w:hAnsi="Calibri"/>
          <w:bCs/>
          <w:sz w:val="16"/>
          <w:szCs w:val="16"/>
          <w:lang w:val="en-US" w:eastAsia="en-US"/>
        </w:rPr>
        <w:t xml:space="preserve"> 2007</w:t>
      </w:r>
    </w:p>
    <w:p w:rsidR="00030A55" w:rsidRDefault="00030A55"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For the case or urban areas, this situation greatly improves, with only 9% that does not have any source </w:t>
      </w:r>
      <w:r w:rsidR="005F2D8E">
        <w:rPr>
          <w:rFonts w:ascii="Calibri" w:eastAsia="Calibri" w:hAnsi="Calibri"/>
          <w:bCs/>
          <w:sz w:val="22"/>
          <w:szCs w:val="20"/>
          <w:lang w:val="en-US" w:eastAsia="en-US"/>
        </w:rPr>
        <w:t xml:space="preserve">of water </w:t>
      </w:r>
      <w:r w:rsidRPr="0088722D">
        <w:rPr>
          <w:rFonts w:ascii="Calibri" w:eastAsia="Calibri" w:hAnsi="Calibri"/>
          <w:bCs/>
          <w:sz w:val="22"/>
          <w:szCs w:val="20"/>
          <w:lang w:val="en-US" w:eastAsia="en-US"/>
        </w:rPr>
        <w:t xml:space="preserve">and 13% who depend on latrines and cesspools. </w:t>
      </w:r>
      <w:r w:rsidR="00060815">
        <w:rPr>
          <w:rFonts w:ascii="Calibri" w:eastAsia="Calibri" w:hAnsi="Calibri"/>
          <w:bCs/>
          <w:sz w:val="22"/>
          <w:szCs w:val="20"/>
          <w:lang w:val="en-US" w:eastAsia="en-US"/>
        </w:rPr>
        <w:t>Figure 7 shows that t</w:t>
      </w:r>
      <w:r w:rsidRPr="0088722D">
        <w:rPr>
          <w:rFonts w:ascii="Calibri" w:eastAsia="Calibri" w:hAnsi="Calibri"/>
          <w:bCs/>
          <w:sz w:val="22"/>
          <w:szCs w:val="20"/>
          <w:lang w:val="en-US" w:eastAsia="en-US"/>
        </w:rPr>
        <w:t xml:space="preserve">he main difficulties are faced in rural areas, where 42% of the </w:t>
      </w:r>
      <w:r w:rsidR="006971C5" w:rsidRPr="0088722D">
        <w:rPr>
          <w:rFonts w:ascii="Calibri" w:eastAsia="Calibri" w:hAnsi="Calibri"/>
          <w:bCs/>
          <w:sz w:val="22"/>
          <w:szCs w:val="20"/>
          <w:lang w:val="en-US" w:eastAsia="en-US"/>
        </w:rPr>
        <w:t>population does not have a sewerage system</w:t>
      </w:r>
      <w:r w:rsidR="00060815">
        <w:rPr>
          <w:rFonts w:ascii="Calibri" w:eastAsia="Calibri" w:hAnsi="Calibri"/>
          <w:bCs/>
          <w:sz w:val="22"/>
          <w:szCs w:val="20"/>
          <w:lang w:val="en-US" w:eastAsia="en-US"/>
        </w:rPr>
        <w:t xml:space="preserve"> and 47% of people use latrines and cesspools as their sewerage system.</w:t>
      </w:r>
    </w:p>
    <w:p w:rsidR="006971C5" w:rsidRPr="00706BDA" w:rsidRDefault="00060815" w:rsidP="00060815">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D700C1">
        <w:rPr>
          <w:rFonts w:ascii="Calibri" w:eastAsia="Calibri" w:hAnsi="Calibri"/>
          <w:color w:val="4F81BD"/>
          <w:sz w:val="22"/>
          <w:szCs w:val="22"/>
          <w:lang w:val="en-US" w:eastAsia="en-US"/>
        </w:rPr>
        <w:lastRenderedPageBreak/>
        <w:t>Figure 7</w:t>
      </w:r>
      <w:r w:rsidR="006971C5" w:rsidRPr="00706BDA">
        <w:rPr>
          <w:rFonts w:ascii="Calibri" w:eastAsia="Calibri" w:hAnsi="Calibri"/>
          <w:color w:val="4F81BD"/>
          <w:sz w:val="22"/>
          <w:szCs w:val="22"/>
          <w:lang w:val="en-US" w:eastAsia="en-US"/>
        </w:rPr>
        <w:t>: Availability of a Sewerage System in Rural Areas</w:t>
      </w:r>
    </w:p>
    <w:p w:rsidR="006971C5" w:rsidRPr="0088722D" w:rsidRDefault="00786AEB" w:rsidP="00060815">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4304665" cy="22339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304665" cy="2233930"/>
                    </a:xfrm>
                    <a:prstGeom prst="rect">
                      <a:avLst/>
                    </a:prstGeom>
                    <a:noFill/>
                    <a:ln w="9525">
                      <a:noFill/>
                      <a:miter lim="800000"/>
                      <a:headEnd/>
                      <a:tailEnd/>
                    </a:ln>
                  </pic:spPr>
                </pic:pic>
              </a:graphicData>
            </a:graphic>
          </wp:inline>
        </w:drawing>
      </w:r>
    </w:p>
    <w:p w:rsidR="006971C5" w:rsidRPr="003D4097" w:rsidRDefault="006971C5" w:rsidP="0088722D">
      <w:pPr>
        <w:spacing w:after="200" w:line="276" w:lineRule="auto"/>
        <w:jc w:val="both"/>
        <w:rPr>
          <w:rFonts w:ascii="Calibri" w:eastAsia="Calibri" w:hAnsi="Calibri"/>
          <w:bCs/>
          <w:sz w:val="16"/>
          <w:szCs w:val="16"/>
          <w:lang w:val="en-US" w:eastAsia="en-US"/>
        </w:rPr>
      </w:pPr>
      <w:r w:rsidRPr="003D4097">
        <w:rPr>
          <w:rFonts w:ascii="Calibri" w:eastAsia="Calibri" w:hAnsi="Calibri"/>
          <w:bCs/>
          <w:sz w:val="16"/>
          <w:szCs w:val="16"/>
          <w:lang w:val="en-US" w:eastAsia="en-US"/>
        </w:rPr>
        <w:t xml:space="preserve">   </w:t>
      </w:r>
      <w:r w:rsidR="00B61623">
        <w:rPr>
          <w:rFonts w:ascii="Calibri" w:eastAsia="Calibri" w:hAnsi="Calibri"/>
          <w:bCs/>
          <w:sz w:val="16"/>
          <w:szCs w:val="16"/>
          <w:lang w:val="en-US" w:eastAsia="en-US"/>
        </w:rPr>
        <w:tab/>
      </w:r>
      <w:r w:rsidR="0060342F" w:rsidRPr="003D4097">
        <w:rPr>
          <w:rFonts w:ascii="Calibri" w:eastAsia="Calibri" w:hAnsi="Calibri"/>
          <w:bCs/>
          <w:sz w:val="16"/>
          <w:szCs w:val="16"/>
          <w:lang w:val="en-US" w:eastAsia="en-US"/>
        </w:rPr>
        <w:t xml:space="preserve"> </w:t>
      </w:r>
      <w:r w:rsidR="005F2D8E">
        <w:rPr>
          <w:rFonts w:ascii="Calibri" w:eastAsia="Calibri" w:hAnsi="Calibri"/>
          <w:bCs/>
          <w:sz w:val="16"/>
          <w:szCs w:val="16"/>
          <w:lang w:val="en-US" w:eastAsia="en-US"/>
        </w:rPr>
        <w:t xml:space="preserve"> Source: Census</w:t>
      </w:r>
      <w:r w:rsidRPr="003D4097">
        <w:rPr>
          <w:rFonts w:ascii="Calibri" w:eastAsia="Calibri" w:hAnsi="Calibri"/>
          <w:bCs/>
          <w:sz w:val="16"/>
          <w:szCs w:val="16"/>
          <w:lang w:val="en-US" w:eastAsia="en-US"/>
        </w:rPr>
        <w:t xml:space="preserve"> 2007</w:t>
      </w:r>
    </w:p>
    <w:p w:rsidR="006971C5" w:rsidRPr="0088722D" w:rsidRDefault="006971C5"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This broad view of the sector signals the fact that urban areas, which by themselves still need to provide more coverage and systems, have far better infrastructure and depend less on alternatives that have proven to be disease prone.</w:t>
      </w:r>
    </w:p>
    <w:p w:rsidR="001A66D1" w:rsidRPr="001A66D1" w:rsidRDefault="001A66D1" w:rsidP="001A66D1">
      <w:pPr>
        <w:pStyle w:val="Ttulo1"/>
        <w:keepLines/>
        <w:spacing w:before="0" w:after="0" w:line="276" w:lineRule="auto"/>
        <w:rPr>
          <w:rFonts w:ascii="Cambria" w:hAnsi="Cambria"/>
          <w:i/>
          <w:iCs/>
          <w:color w:val="365F91"/>
          <w:kern w:val="0"/>
          <w:sz w:val="16"/>
          <w:szCs w:val="16"/>
          <w:lang w:val="en-US" w:eastAsia="en-US"/>
        </w:rPr>
      </w:pPr>
      <w:bookmarkStart w:id="9" w:name="_Toc245909222"/>
      <w:bookmarkStart w:id="10" w:name="_Toc246149825"/>
      <w:r>
        <w:rPr>
          <w:rFonts w:ascii="Cambria" w:hAnsi="Cambria"/>
          <w:i/>
          <w:iCs/>
          <w:color w:val="365F91"/>
          <w:kern w:val="0"/>
          <w:sz w:val="28"/>
          <w:szCs w:val="28"/>
          <w:lang w:val="en-US" w:eastAsia="en-US"/>
        </w:rPr>
        <w:br w:type="page"/>
      </w:r>
      <w:r w:rsidR="00FA2956" w:rsidRPr="001A66D1">
        <w:rPr>
          <w:rFonts w:ascii="Cambria" w:hAnsi="Cambria"/>
          <w:i/>
          <w:iCs/>
          <w:color w:val="365F91"/>
          <w:kern w:val="0"/>
          <w:sz w:val="16"/>
          <w:szCs w:val="16"/>
          <w:lang w:val="en-US" w:eastAsia="en-US"/>
        </w:rPr>
        <w:lastRenderedPageBreak/>
        <w:t xml:space="preserve"> </w:t>
      </w:r>
    </w:p>
    <w:p w:rsidR="00FA2956" w:rsidRPr="00FA2956" w:rsidRDefault="00593C08" w:rsidP="001A66D1">
      <w:pPr>
        <w:pStyle w:val="Graciela1"/>
        <w:spacing w:before="0"/>
        <w:rPr>
          <w:kern w:val="0"/>
          <w:lang w:eastAsia="en-US"/>
        </w:rPr>
      </w:pPr>
      <w:bookmarkStart w:id="11" w:name="_Toc254912251"/>
      <w:r>
        <w:rPr>
          <w:kern w:val="0"/>
          <w:lang w:eastAsia="en-US"/>
        </w:rPr>
        <w:t xml:space="preserve">II. </w:t>
      </w:r>
      <w:r w:rsidR="00FA2956" w:rsidRPr="00FA2956">
        <w:rPr>
          <w:kern w:val="0"/>
          <w:lang w:eastAsia="en-US"/>
        </w:rPr>
        <w:t>Program Budgeting Analysis</w:t>
      </w:r>
      <w:bookmarkEnd w:id="11"/>
    </w:p>
    <w:p w:rsidR="00593C08" w:rsidRDefault="00593C08" w:rsidP="00593C08">
      <w:pPr>
        <w:pStyle w:val="Ttulo2"/>
        <w:spacing w:before="0"/>
        <w:rPr>
          <w:rStyle w:val="nfasisintenso"/>
        </w:rPr>
      </w:pPr>
    </w:p>
    <w:p w:rsidR="00B61623" w:rsidRPr="00593C08" w:rsidRDefault="00B61623" w:rsidP="00593C08">
      <w:pPr>
        <w:pStyle w:val="Ttulo2"/>
        <w:numPr>
          <w:ilvl w:val="0"/>
          <w:numId w:val="16"/>
        </w:numPr>
        <w:spacing w:before="0"/>
        <w:rPr>
          <w:rStyle w:val="nfasisintenso"/>
          <w:lang w:val="en-US"/>
        </w:rPr>
      </w:pPr>
      <w:bookmarkStart w:id="12" w:name="_Toc254912252"/>
      <w:r w:rsidRPr="00593C08">
        <w:rPr>
          <w:rStyle w:val="nfasisintenso"/>
          <w:lang w:val="en-US"/>
        </w:rPr>
        <w:t>List and Description of Funding Sources</w:t>
      </w:r>
      <w:bookmarkEnd w:id="9"/>
      <w:bookmarkEnd w:id="10"/>
      <w:bookmarkEnd w:id="12"/>
    </w:p>
    <w:p w:rsidR="00B61623" w:rsidRPr="00433BDF" w:rsidRDefault="00B61623" w:rsidP="00B61623">
      <w:pPr>
        <w:rPr>
          <w:lang w:val="en-US" w:eastAsia="en-US"/>
        </w:rPr>
      </w:pPr>
    </w:p>
    <w:p w:rsidR="00B61623" w:rsidRDefault="00B61623" w:rsidP="00B61623">
      <w:pPr>
        <w:spacing w:line="276" w:lineRule="auto"/>
        <w:jc w:val="both"/>
        <w:rPr>
          <w:rFonts w:ascii="Calibri" w:hAnsi="Calibri"/>
          <w:sz w:val="22"/>
          <w:szCs w:val="22"/>
          <w:lang w:val="en-GB" w:eastAsia="en-US"/>
        </w:rPr>
      </w:pPr>
      <w:r w:rsidRPr="00B61623">
        <w:rPr>
          <w:rFonts w:ascii="Calibri" w:hAnsi="Calibri"/>
          <w:sz w:val="22"/>
          <w:szCs w:val="22"/>
          <w:lang w:val="en-GB" w:eastAsia="en-US"/>
        </w:rPr>
        <w:t>The first step in understanding this sector is to see how it is financed. There are five main items in wh</w:t>
      </w:r>
      <w:r w:rsidR="00433BDF">
        <w:rPr>
          <w:rFonts w:ascii="Calibri" w:hAnsi="Calibri"/>
          <w:sz w:val="22"/>
          <w:szCs w:val="22"/>
          <w:lang w:val="en-GB" w:eastAsia="en-US"/>
        </w:rPr>
        <w:t>ich the funding is consolidated:</w:t>
      </w:r>
      <w:r w:rsidRPr="00B61623">
        <w:rPr>
          <w:rFonts w:ascii="Calibri" w:hAnsi="Calibri"/>
          <w:sz w:val="22"/>
          <w:szCs w:val="22"/>
          <w:lang w:val="en-GB" w:eastAsia="en-US"/>
        </w:rPr>
        <w:t xml:space="preserve"> </w:t>
      </w:r>
    </w:p>
    <w:p w:rsidR="00C6530D" w:rsidRPr="00B61623" w:rsidRDefault="00C6530D" w:rsidP="00B61623">
      <w:pPr>
        <w:spacing w:line="276" w:lineRule="auto"/>
        <w:jc w:val="both"/>
        <w:rPr>
          <w:rFonts w:ascii="Calibri" w:hAnsi="Calibri"/>
          <w:sz w:val="22"/>
          <w:szCs w:val="22"/>
          <w:lang w:val="en-GB" w:eastAsia="en-US"/>
        </w:rPr>
      </w:pPr>
    </w:p>
    <w:p w:rsidR="00B61623" w:rsidRPr="00B61623" w:rsidRDefault="00B61623" w:rsidP="00433BDF">
      <w:pPr>
        <w:numPr>
          <w:ilvl w:val="0"/>
          <w:numId w:val="13"/>
        </w:numPr>
        <w:spacing w:line="276" w:lineRule="auto"/>
        <w:jc w:val="both"/>
        <w:rPr>
          <w:rFonts w:ascii="Calibri" w:hAnsi="Calibri"/>
          <w:sz w:val="22"/>
          <w:szCs w:val="22"/>
          <w:lang w:val="en-GB" w:eastAsia="en-US"/>
        </w:rPr>
      </w:pPr>
      <w:r w:rsidRPr="00B61623">
        <w:rPr>
          <w:rFonts w:ascii="Calibri" w:hAnsi="Calibri"/>
          <w:sz w:val="22"/>
          <w:szCs w:val="22"/>
          <w:lang w:val="en-GB" w:eastAsia="en-US"/>
        </w:rPr>
        <w:t>The first one is ordinary resources which are the fiscal incomes that do not correspond directly to any entity, therefore being of free disposal.  It does not count collection commissions and banking services</w:t>
      </w:r>
      <w:r w:rsidR="00C6530D">
        <w:rPr>
          <w:rFonts w:ascii="Calibri" w:hAnsi="Calibri"/>
          <w:sz w:val="22"/>
          <w:szCs w:val="22"/>
          <w:lang w:val="en-GB" w:eastAsia="en-US"/>
        </w:rPr>
        <w:t>.</w:t>
      </w:r>
    </w:p>
    <w:p w:rsidR="00433BDF" w:rsidRDefault="00433BDF" w:rsidP="00433BDF">
      <w:pPr>
        <w:spacing w:line="276" w:lineRule="auto"/>
        <w:ind w:left="720"/>
        <w:jc w:val="both"/>
        <w:rPr>
          <w:rFonts w:ascii="Calibri" w:hAnsi="Calibri"/>
          <w:sz w:val="22"/>
          <w:szCs w:val="22"/>
          <w:lang w:val="en-GB" w:eastAsia="en-US"/>
        </w:rPr>
      </w:pPr>
    </w:p>
    <w:p w:rsidR="00B61623" w:rsidRPr="00B61623" w:rsidRDefault="00B61623" w:rsidP="00433BDF">
      <w:pPr>
        <w:numPr>
          <w:ilvl w:val="0"/>
          <w:numId w:val="13"/>
        </w:numPr>
        <w:spacing w:line="276" w:lineRule="auto"/>
        <w:jc w:val="both"/>
        <w:rPr>
          <w:rFonts w:ascii="Calibri" w:hAnsi="Calibri"/>
          <w:sz w:val="22"/>
          <w:szCs w:val="22"/>
          <w:lang w:val="en-GB" w:eastAsia="en-US"/>
        </w:rPr>
      </w:pPr>
      <w:r w:rsidRPr="00B61623">
        <w:rPr>
          <w:rFonts w:ascii="Calibri" w:hAnsi="Calibri"/>
          <w:sz w:val="22"/>
          <w:szCs w:val="22"/>
          <w:lang w:val="en-GB" w:eastAsia="en-US"/>
        </w:rPr>
        <w:t>Resources directly collected are the proceeds of the EPS</w:t>
      </w:r>
      <w:r w:rsidR="00264C0D">
        <w:rPr>
          <w:rFonts w:ascii="Calibri" w:hAnsi="Calibri"/>
          <w:sz w:val="22"/>
          <w:szCs w:val="22"/>
          <w:lang w:val="en-GB" w:eastAsia="en-US"/>
        </w:rPr>
        <w:t xml:space="preserve"> (already described at the first section)</w:t>
      </w:r>
      <w:r w:rsidRPr="00B61623">
        <w:rPr>
          <w:rFonts w:ascii="Calibri" w:hAnsi="Calibri"/>
          <w:sz w:val="22"/>
          <w:szCs w:val="22"/>
          <w:lang w:val="en-GB" w:eastAsia="en-US"/>
        </w:rPr>
        <w:t xml:space="preserve"> that are directly managed by them, such as the payment for provision of services, the financial benefits of their investments and the results of previous fiscal years, among others. </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B61623" w:rsidP="00433BDF">
      <w:pPr>
        <w:numPr>
          <w:ilvl w:val="0"/>
          <w:numId w:val="13"/>
        </w:numPr>
        <w:spacing w:line="276" w:lineRule="auto"/>
        <w:jc w:val="both"/>
        <w:rPr>
          <w:rFonts w:ascii="Calibri" w:hAnsi="Calibri"/>
          <w:sz w:val="22"/>
          <w:szCs w:val="22"/>
          <w:lang w:val="en-GB" w:eastAsia="en-US"/>
        </w:rPr>
      </w:pPr>
      <w:r w:rsidRPr="00B61623">
        <w:rPr>
          <w:rFonts w:ascii="Calibri" w:hAnsi="Calibri"/>
          <w:sz w:val="22"/>
          <w:szCs w:val="22"/>
          <w:lang w:val="en-GB" w:eastAsia="en-US"/>
        </w:rPr>
        <w:t xml:space="preserve">The third, resources by credit operations, has both internal and external sources that come </w:t>
      </w:r>
      <w:r w:rsidR="00C6530D" w:rsidRPr="00B61623">
        <w:rPr>
          <w:rFonts w:ascii="Calibri" w:hAnsi="Calibri"/>
          <w:sz w:val="22"/>
          <w:szCs w:val="22"/>
          <w:lang w:val="en-GB" w:eastAsia="en-US"/>
        </w:rPr>
        <w:t>from</w:t>
      </w:r>
      <w:r w:rsidRPr="00B61623">
        <w:rPr>
          <w:rFonts w:ascii="Calibri" w:hAnsi="Calibri"/>
          <w:sz w:val="22"/>
          <w:szCs w:val="22"/>
          <w:lang w:val="en-GB" w:eastAsia="en-US"/>
        </w:rPr>
        <w:t xml:space="preserve"> deals made by the government with international institutions, foreign states and credit lines.  Other accounts included are the results of its operations in the capital markets, results </w:t>
      </w:r>
      <w:r w:rsidR="00C6530D" w:rsidRPr="00B61623">
        <w:rPr>
          <w:rFonts w:ascii="Calibri" w:hAnsi="Calibri"/>
          <w:sz w:val="22"/>
          <w:szCs w:val="22"/>
          <w:lang w:val="en-GB" w:eastAsia="en-US"/>
        </w:rPr>
        <w:t>from</w:t>
      </w:r>
      <w:r w:rsidRPr="00B61623">
        <w:rPr>
          <w:rFonts w:ascii="Calibri" w:hAnsi="Calibri"/>
          <w:sz w:val="22"/>
          <w:szCs w:val="22"/>
          <w:lang w:val="en-GB" w:eastAsia="en-US"/>
        </w:rPr>
        <w:t xml:space="preserve"> previous fiscal years and exchange differentials.</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B61623" w:rsidP="00433BDF">
      <w:pPr>
        <w:numPr>
          <w:ilvl w:val="0"/>
          <w:numId w:val="13"/>
        </w:numPr>
        <w:spacing w:line="276" w:lineRule="auto"/>
        <w:jc w:val="both"/>
        <w:rPr>
          <w:rFonts w:ascii="Calibri" w:hAnsi="Calibri"/>
          <w:sz w:val="22"/>
          <w:szCs w:val="22"/>
          <w:lang w:val="en-GB" w:eastAsia="en-US"/>
        </w:rPr>
      </w:pPr>
      <w:r w:rsidRPr="00B61623">
        <w:rPr>
          <w:rFonts w:ascii="Calibri" w:hAnsi="Calibri"/>
          <w:sz w:val="22"/>
          <w:szCs w:val="22"/>
          <w:lang w:val="en-GB" w:eastAsia="en-US"/>
        </w:rPr>
        <w:t xml:space="preserve">The next one has two main divisions. Donations include non refundable funds received </w:t>
      </w:r>
      <w:r w:rsidR="00127A6F" w:rsidRPr="00B61623">
        <w:rPr>
          <w:rFonts w:ascii="Calibri" w:hAnsi="Calibri"/>
          <w:sz w:val="22"/>
          <w:szCs w:val="22"/>
          <w:lang w:val="en-GB" w:eastAsia="en-US"/>
        </w:rPr>
        <w:t>from</w:t>
      </w:r>
      <w:r w:rsidRPr="00B61623">
        <w:rPr>
          <w:rFonts w:ascii="Calibri" w:hAnsi="Calibri"/>
          <w:sz w:val="22"/>
          <w:szCs w:val="22"/>
          <w:lang w:val="en-GB" w:eastAsia="en-US"/>
        </w:rPr>
        <w:t xml:space="preserve"> international development agencies, governments, individuals and business from the country or foreign. Transfers are operations that do not require any compensation from private or public entities. It includes financial benefits, exchange differentials and the results of previous fiscal years</w:t>
      </w:r>
      <w:r w:rsidR="00505204">
        <w:rPr>
          <w:rFonts w:ascii="Calibri" w:hAnsi="Calibri"/>
          <w:sz w:val="22"/>
          <w:szCs w:val="22"/>
          <w:lang w:val="en-GB" w:eastAsia="en-US"/>
        </w:rPr>
        <w:t>.</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B61623" w:rsidP="00433BDF">
      <w:pPr>
        <w:numPr>
          <w:ilvl w:val="0"/>
          <w:numId w:val="13"/>
        </w:numPr>
        <w:spacing w:line="276" w:lineRule="auto"/>
        <w:jc w:val="both"/>
        <w:rPr>
          <w:rFonts w:ascii="Calibri" w:hAnsi="Calibri"/>
          <w:sz w:val="22"/>
          <w:szCs w:val="22"/>
          <w:lang w:val="en-GB" w:eastAsia="en-US"/>
        </w:rPr>
      </w:pPr>
      <w:r w:rsidRPr="00B61623">
        <w:rPr>
          <w:rFonts w:ascii="Calibri" w:hAnsi="Calibri"/>
          <w:sz w:val="22"/>
          <w:szCs w:val="22"/>
          <w:lang w:val="en-GB" w:eastAsia="en-US"/>
        </w:rPr>
        <w:t>Finally, selected resources is a broad account that includes municipal taxes</w:t>
      </w:r>
      <w:r w:rsidR="00264C0D">
        <w:rPr>
          <w:rFonts w:ascii="Calibri" w:hAnsi="Calibri"/>
          <w:sz w:val="22"/>
          <w:szCs w:val="22"/>
          <w:lang w:val="en-GB" w:eastAsia="en-US"/>
        </w:rPr>
        <w:t xml:space="preserve"> (at a local government level)</w:t>
      </w:r>
      <w:r w:rsidRPr="00B61623">
        <w:rPr>
          <w:rFonts w:ascii="Calibri" w:hAnsi="Calibri"/>
          <w:sz w:val="22"/>
          <w:szCs w:val="22"/>
          <w:lang w:val="en-GB" w:eastAsia="en-US"/>
        </w:rPr>
        <w:t>, the Fondo de Compensación Municipal (a fund that was established by the government to promote municipal investments</w:t>
      </w:r>
      <w:r w:rsidR="00505204">
        <w:rPr>
          <w:rFonts w:ascii="Calibri" w:hAnsi="Calibri"/>
          <w:sz w:val="22"/>
          <w:szCs w:val="22"/>
          <w:lang w:val="en-GB" w:eastAsia="en-US"/>
        </w:rPr>
        <w:t xml:space="preserve"> redistributing national income tax proceeds according to a rule that attempts to compensate those district with larger needs</w:t>
      </w:r>
      <w:r w:rsidRPr="00B61623">
        <w:rPr>
          <w:rFonts w:ascii="Calibri" w:hAnsi="Calibri"/>
          <w:sz w:val="22"/>
          <w:szCs w:val="22"/>
          <w:lang w:val="en-GB" w:eastAsia="en-US"/>
        </w:rPr>
        <w:t>)</w:t>
      </w:r>
      <w:r w:rsidR="00505204">
        <w:rPr>
          <w:rFonts w:ascii="Calibri" w:hAnsi="Calibri"/>
          <w:sz w:val="22"/>
          <w:szCs w:val="22"/>
          <w:lang w:val="en-GB" w:eastAsia="en-US"/>
        </w:rPr>
        <w:t>,</w:t>
      </w:r>
      <w:r w:rsidRPr="00B61623">
        <w:rPr>
          <w:rFonts w:ascii="Calibri" w:hAnsi="Calibri"/>
          <w:sz w:val="22"/>
          <w:szCs w:val="22"/>
          <w:lang w:val="en-GB" w:eastAsia="en-US"/>
        </w:rPr>
        <w:t xml:space="preserve"> </w:t>
      </w:r>
      <w:r w:rsidR="00505204">
        <w:rPr>
          <w:rFonts w:ascii="Calibri" w:hAnsi="Calibri"/>
          <w:sz w:val="22"/>
          <w:szCs w:val="22"/>
          <w:lang w:val="en-GB" w:eastAsia="en-US"/>
        </w:rPr>
        <w:t>c</w:t>
      </w:r>
      <w:r w:rsidRPr="00B61623">
        <w:rPr>
          <w:rFonts w:ascii="Calibri" w:hAnsi="Calibri"/>
          <w:sz w:val="22"/>
          <w:szCs w:val="22"/>
          <w:lang w:val="en-GB" w:eastAsia="en-US"/>
        </w:rPr>
        <w:t xml:space="preserve">ustoms </w:t>
      </w:r>
      <w:r w:rsidR="00505204">
        <w:rPr>
          <w:rFonts w:ascii="Calibri" w:hAnsi="Calibri"/>
          <w:sz w:val="22"/>
          <w:szCs w:val="22"/>
          <w:lang w:val="en-GB" w:eastAsia="en-US"/>
        </w:rPr>
        <w:t>r</w:t>
      </w:r>
      <w:r w:rsidRPr="00B61623">
        <w:rPr>
          <w:rFonts w:ascii="Calibri" w:hAnsi="Calibri"/>
          <w:sz w:val="22"/>
          <w:szCs w:val="22"/>
          <w:lang w:val="en-GB" w:eastAsia="en-US"/>
        </w:rPr>
        <w:t xml:space="preserve">evenues, canon, sobrecanon and </w:t>
      </w:r>
      <w:r w:rsidR="00505204">
        <w:rPr>
          <w:rFonts w:ascii="Calibri" w:hAnsi="Calibri"/>
          <w:sz w:val="22"/>
          <w:szCs w:val="22"/>
          <w:lang w:val="en-GB" w:eastAsia="en-US"/>
        </w:rPr>
        <w:t>royalties</w:t>
      </w:r>
      <w:r w:rsidRPr="00B61623">
        <w:rPr>
          <w:rFonts w:ascii="Calibri" w:hAnsi="Calibri"/>
          <w:sz w:val="22"/>
          <w:szCs w:val="22"/>
          <w:lang w:val="en-GB" w:eastAsia="en-US"/>
        </w:rPr>
        <w:t xml:space="preserve"> (the last three are resources paid by primary industries such as mining</w:t>
      </w:r>
      <w:r w:rsidR="00505204">
        <w:rPr>
          <w:rFonts w:ascii="Calibri" w:hAnsi="Calibri"/>
          <w:sz w:val="22"/>
          <w:szCs w:val="22"/>
          <w:lang w:val="en-GB" w:eastAsia="en-US"/>
        </w:rPr>
        <w:t>, gas, and others</w:t>
      </w:r>
      <w:r w:rsidRPr="00B61623">
        <w:rPr>
          <w:rFonts w:ascii="Calibri" w:hAnsi="Calibri"/>
          <w:sz w:val="22"/>
          <w:szCs w:val="22"/>
          <w:lang w:val="en-GB" w:eastAsia="en-US"/>
        </w:rPr>
        <w:t xml:space="preserve">). </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B61623" w:rsidP="00B61623">
      <w:pPr>
        <w:spacing w:line="276" w:lineRule="auto"/>
        <w:jc w:val="both"/>
        <w:rPr>
          <w:rFonts w:ascii="Calibri" w:hAnsi="Calibri"/>
          <w:sz w:val="22"/>
          <w:szCs w:val="22"/>
          <w:lang w:val="en-GB" w:eastAsia="en-US"/>
        </w:rPr>
      </w:pPr>
      <w:r w:rsidRPr="00B61623">
        <w:rPr>
          <w:rFonts w:ascii="Calibri" w:hAnsi="Calibri"/>
          <w:sz w:val="22"/>
          <w:szCs w:val="22"/>
          <w:lang w:val="en-GB" w:eastAsia="en-US"/>
        </w:rPr>
        <w:t xml:space="preserve">Table 1 presents the main accounts and Table 2 shows their relative importance. </w:t>
      </w:r>
    </w:p>
    <w:p w:rsidR="00B61623" w:rsidRPr="00B61623" w:rsidRDefault="00B61623" w:rsidP="00B61623">
      <w:pPr>
        <w:spacing w:line="276" w:lineRule="auto"/>
        <w:jc w:val="both"/>
        <w:rPr>
          <w:rFonts w:ascii="Calibri" w:hAnsi="Calibri"/>
          <w:sz w:val="22"/>
          <w:szCs w:val="22"/>
          <w:lang w:val="en-GB" w:eastAsia="en-US"/>
        </w:rPr>
      </w:pPr>
    </w:p>
    <w:p w:rsidR="00B61623" w:rsidRPr="00D700C1" w:rsidRDefault="00676EEC" w:rsidP="004C38FD">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B61623" w:rsidRPr="00D700C1">
        <w:rPr>
          <w:rFonts w:ascii="Calibri" w:eastAsia="Calibri" w:hAnsi="Calibri"/>
          <w:color w:val="4F81BD"/>
          <w:sz w:val="22"/>
          <w:szCs w:val="22"/>
          <w:lang w:val="en-US" w:eastAsia="en-US"/>
        </w:rPr>
        <w:lastRenderedPageBreak/>
        <w:t xml:space="preserve">Table </w:t>
      </w:r>
      <w:r w:rsidR="00DD7CFF" w:rsidRPr="00D700C1">
        <w:rPr>
          <w:rFonts w:ascii="Calibri" w:eastAsia="Calibri" w:hAnsi="Calibri"/>
          <w:color w:val="4F81BD"/>
          <w:sz w:val="22"/>
          <w:szCs w:val="22"/>
          <w:lang w:val="en-US" w:eastAsia="en-US"/>
        </w:rPr>
        <w:fldChar w:fldCharType="begin"/>
      </w:r>
      <w:r w:rsidR="00B61623" w:rsidRPr="00D700C1">
        <w:rPr>
          <w:rFonts w:ascii="Calibri" w:eastAsia="Calibri" w:hAnsi="Calibri"/>
          <w:color w:val="4F81BD"/>
          <w:sz w:val="22"/>
          <w:szCs w:val="22"/>
          <w:lang w:val="en-US" w:eastAsia="en-US"/>
        </w:rPr>
        <w:instrText xml:space="preserve"> SEQ Table_ \* ARABIC </w:instrText>
      </w:r>
      <w:r w:rsidR="00DD7CFF" w:rsidRPr="00D700C1">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1</w:t>
      </w:r>
      <w:r w:rsidR="00DD7CFF" w:rsidRPr="00D700C1">
        <w:rPr>
          <w:rFonts w:ascii="Calibri" w:eastAsia="Calibri" w:hAnsi="Calibri"/>
          <w:color w:val="4F81BD"/>
          <w:sz w:val="22"/>
          <w:szCs w:val="22"/>
          <w:lang w:val="en-US" w:eastAsia="en-US"/>
        </w:rPr>
        <w:fldChar w:fldCharType="end"/>
      </w:r>
      <w:r w:rsidR="00D700C1" w:rsidRPr="00D700C1">
        <w:rPr>
          <w:rFonts w:ascii="Calibri" w:eastAsia="Calibri" w:hAnsi="Calibri"/>
          <w:color w:val="4F81BD"/>
          <w:sz w:val="22"/>
          <w:szCs w:val="22"/>
          <w:lang w:val="en-US" w:eastAsia="en-US"/>
        </w:rPr>
        <w:t>: Funding Sources (In millions of Nuevos Soles of 2006)</w:t>
      </w:r>
    </w:p>
    <w:p w:rsidR="00B61623" w:rsidRPr="00B61623" w:rsidRDefault="00786AEB" w:rsidP="00E91535">
      <w:pPr>
        <w:spacing w:line="276" w:lineRule="auto"/>
        <w:jc w:val="center"/>
        <w:rPr>
          <w:rFonts w:ascii="Calibri" w:hAnsi="Calibri"/>
          <w:sz w:val="22"/>
          <w:szCs w:val="22"/>
          <w:lang w:val="en-GB" w:eastAsia="en-US"/>
        </w:rPr>
      </w:pPr>
      <w:r>
        <w:rPr>
          <w:noProof/>
          <w:szCs w:val="22"/>
          <w:lang w:val="es-PE" w:eastAsia="es-PE"/>
        </w:rPr>
        <w:drawing>
          <wp:inline distT="0" distB="0" distL="0" distR="0">
            <wp:extent cx="5081270" cy="1285240"/>
            <wp:effectExtent l="1905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081270" cy="1285240"/>
                    </a:xfrm>
                    <a:prstGeom prst="rect">
                      <a:avLst/>
                    </a:prstGeom>
                    <a:noFill/>
                    <a:ln w="9525">
                      <a:noFill/>
                      <a:miter lim="800000"/>
                      <a:headEnd/>
                      <a:tailEnd/>
                    </a:ln>
                  </pic:spPr>
                </pic:pic>
              </a:graphicData>
            </a:graphic>
          </wp:inline>
        </w:drawing>
      </w:r>
    </w:p>
    <w:p w:rsidR="00B61623" w:rsidRPr="00E91535" w:rsidRDefault="00B61623" w:rsidP="00B61623">
      <w:pPr>
        <w:spacing w:line="276" w:lineRule="auto"/>
        <w:jc w:val="both"/>
        <w:rPr>
          <w:rFonts w:ascii="Calibri" w:hAnsi="Calibri"/>
          <w:sz w:val="16"/>
          <w:szCs w:val="16"/>
          <w:lang w:val="en-US" w:eastAsia="en-US"/>
        </w:rPr>
      </w:pPr>
      <w:r w:rsidRPr="00E91535">
        <w:rPr>
          <w:rFonts w:ascii="Calibri" w:hAnsi="Calibri"/>
          <w:sz w:val="16"/>
          <w:szCs w:val="16"/>
          <w:lang w:val="en-US" w:eastAsia="en-US"/>
        </w:rPr>
        <w:t xml:space="preserve">Source: MEF – Transparencia Económica </w:t>
      </w:r>
    </w:p>
    <w:p w:rsidR="00B61623" w:rsidRPr="00E91535" w:rsidRDefault="00B61623" w:rsidP="00B61623">
      <w:pPr>
        <w:spacing w:line="276" w:lineRule="auto"/>
        <w:jc w:val="both"/>
        <w:rPr>
          <w:rFonts w:ascii="Calibri" w:hAnsi="Calibri"/>
          <w:sz w:val="22"/>
          <w:szCs w:val="22"/>
          <w:lang w:val="en-US" w:eastAsia="en-US"/>
        </w:rPr>
      </w:pPr>
    </w:p>
    <w:p w:rsidR="00B61623" w:rsidRPr="00D700C1" w:rsidRDefault="00B61623" w:rsidP="004C38FD">
      <w:pPr>
        <w:pStyle w:val="Epgrafe"/>
        <w:jc w:val="center"/>
        <w:rPr>
          <w:rFonts w:ascii="Calibri" w:eastAsia="Calibri" w:hAnsi="Calibri"/>
          <w:color w:val="4F81BD"/>
          <w:sz w:val="22"/>
          <w:szCs w:val="22"/>
          <w:lang w:val="en-US" w:eastAsia="en-US"/>
        </w:rPr>
      </w:pPr>
      <w:r w:rsidRPr="00D700C1">
        <w:rPr>
          <w:rFonts w:ascii="Calibri" w:eastAsia="Calibri" w:hAnsi="Calibri"/>
          <w:color w:val="4F81BD"/>
          <w:sz w:val="22"/>
          <w:szCs w:val="22"/>
          <w:lang w:val="en-US" w:eastAsia="en-US"/>
        </w:rPr>
        <w:t xml:space="preserve">Table </w:t>
      </w:r>
      <w:r w:rsidR="00DD7CFF" w:rsidRPr="00D700C1">
        <w:rPr>
          <w:rFonts w:ascii="Calibri" w:eastAsia="Calibri" w:hAnsi="Calibri"/>
          <w:color w:val="4F81BD"/>
          <w:sz w:val="22"/>
          <w:szCs w:val="22"/>
          <w:lang w:val="en-US" w:eastAsia="en-US"/>
        </w:rPr>
        <w:fldChar w:fldCharType="begin"/>
      </w:r>
      <w:r w:rsidRPr="00D700C1">
        <w:rPr>
          <w:rFonts w:ascii="Calibri" w:eastAsia="Calibri" w:hAnsi="Calibri"/>
          <w:color w:val="4F81BD"/>
          <w:sz w:val="22"/>
          <w:szCs w:val="22"/>
          <w:lang w:val="en-US" w:eastAsia="en-US"/>
        </w:rPr>
        <w:instrText xml:space="preserve"> SEQ Table_ \* ARABIC </w:instrText>
      </w:r>
      <w:r w:rsidR="00DD7CFF" w:rsidRPr="00D700C1">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2</w:t>
      </w:r>
      <w:r w:rsidR="00DD7CFF" w:rsidRPr="00D700C1">
        <w:rPr>
          <w:rFonts w:ascii="Calibri" w:eastAsia="Calibri" w:hAnsi="Calibri"/>
          <w:color w:val="4F81BD"/>
          <w:sz w:val="22"/>
          <w:szCs w:val="22"/>
          <w:lang w:val="en-US" w:eastAsia="en-US"/>
        </w:rPr>
        <w:fldChar w:fldCharType="end"/>
      </w:r>
      <w:r w:rsidR="00E91535">
        <w:rPr>
          <w:rFonts w:ascii="Calibri" w:eastAsia="Calibri" w:hAnsi="Calibri"/>
          <w:color w:val="4F81BD"/>
          <w:sz w:val="22"/>
          <w:szCs w:val="22"/>
          <w:lang w:val="en-US" w:eastAsia="en-US"/>
        </w:rPr>
        <w:t>: Funding Sources (Percentage of Total, by year)</w:t>
      </w:r>
    </w:p>
    <w:p w:rsidR="00B61623" w:rsidRPr="00B61623" w:rsidRDefault="00786AEB" w:rsidP="00E91535">
      <w:pPr>
        <w:spacing w:line="276" w:lineRule="auto"/>
        <w:jc w:val="center"/>
        <w:rPr>
          <w:rFonts w:ascii="Calibri" w:hAnsi="Calibri"/>
          <w:sz w:val="22"/>
          <w:szCs w:val="22"/>
          <w:lang w:val="en-GB" w:eastAsia="en-US"/>
        </w:rPr>
      </w:pPr>
      <w:r>
        <w:rPr>
          <w:noProof/>
          <w:szCs w:val="22"/>
          <w:lang w:val="es-PE" w:eastAsia="es-PE"/>
        </w:rPr>
        <w:drawing>
          <wp:inline distT="0" distB="0" distL="0" distR="0">
            <wp:extent cx="5245100" cy="136271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245100" cy="1362710"/>
                    </a:xfrm>
                    <a:prstGeom prst="rect">
                      <a:avLst/>
                    </a:prstGeom>
                    <a:noFill/>
                    <a:ln w="9525">
                      <a:noFill/>
                      <a:miter lim="800000"/>
                      <a:headEnd/>
                      <a:tailEnd/>
                    </a:ln>
                  </pic:spPr>
                </pic:pic>
              </a:graphicData>
            </a:graphic>
          </wp:inline>
        </w:drawing>
      </w:r>
    </w:p>
    <w:p w:rsidR="00B61623" w:rsidRPr="00E8193B" w:rsidRDefault="00B61623" w:rsidP="00B61623">
      <w:pPr>
        <w:spacing w:line="276" w:lineRule="auto"/>
        <w:jc w:val="both"/>
        <w:rPr>
          <w:rFonts w:ascii="Calibri" w:hAnsi="Calibri"/>
          <w:sz w:val="16"/>
          <w:szCs w:val="16"/>
          <w:lang w:val="en-GB" w:eastAsia="en-US"/>
        </w:rPr>
      </w:pPr>
      <w:r w:rsidRPr="00E8193B">
        <w:rPr>
          <w:rFonts w:ascii="Calibri" w:hAnsi="Calibri"/>
          <w:sz w:val="16"/>
          <w:szCs w:val="16"/>
          <w:lang w:val="en-GB" w:eastAsia="en-US"/>
        </w:rPr>
        <w:t xml:space="preserve">Source: MEF – Transparencia Económica </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B61623" w:rsidP="00B61623">
      <w:pPr>
        <w:spacing w:line="276" w:lineRule="auto"/>
        <w:jc w:val="both"/>
        <w:rPr>
          <w:rFonts w:ascii="Calibri" w:hAnsi="Calibri"/>
          <w:sz w:val="22"/>
          <w:szCs w:val="22"/>
          <w:lang w:val="en-GB" w:eastAsia="en-US"/>
        </w:rPr>
      </w:pPr>
      <w:r w:rsidRPr="00B61623">
        <w:rPr>
          <w:rFonts w:ascii="Calibri" w:hAnsi="Calibri"/>
          <w:sz w:val="22"/>
          <w:szCs w:val="22"/>
          <w:lang w:val="en-GB" w:eastAsia="en-US"/>
        </w:rPr>
        <w:t xml:space="preserve">It is worth pointing out that the numbers for 2009 are the initial estimates, therefore, as it will be discussed in </w:t>
      </w:r>
      <w:r w:rsidR="00B845D0" w:rsidRPr="00814EB6">
        <w:rPr>
          <w:rFonts w:ascii="Calibri" w:hAnsi="Calibri"/>
          <w:sz w:val="22"/>
          <w:szCs w:val="22"/>
          <w:lang w:val="en-GB" w:eastAsia="en-US"/>
        </w:rPr>
        <w:t xml:space="preserve">the </w:t>
      </w:r>
      <w:r w:rsidR="00814EB6" w:rsidRPr="00814EB6">
        <w:rPr>
          <w:rFonts w:ascii="Calibri" w:hAnsi="Calibri"/>
          <w:sz w:val="22"/>
          <w:szCs w:val="22"/>
          <w:lang w:val="en-GB" w:eastAsia="en-US"/>
        </w:rPr>
        <w:t>next</w:t>
      </w:r>
      <w:r w:rsidR="00B845D0" w:rsidRPr="00814EB6">
        <w:rPr>
          <w:rFonts w:ascii="Calibri" w:hAnsi="Calibri"/>
          <w:sz w:val="22"/>
          <w:szCs w:val="22"/>
          <w:lang w:val="en-GB" w:eastAsia="en-US"/>
        </w:rPr>
        <w:t xml:space="preserve"> </w:t>
      </w:r>
      <w:r w:rsidR="00814EB6" w:rsidRPr="00814EB6">
        <w:rPr>
          <w:rFonts w:ascii="Calibri" w:hAnsi="Calibri"/>
          <w:sz w:val="22"/>
          <w:szCs w:val="22"/>
          <w:lang w:val="en-GB" w:eastAsia="en-US"/>
        </w:rPr>
        <w:t>sub</w:t>
      </w:r>
      <w:r w:rsidRPr="00814EB6">
        <w:rPr>
          <w:rFonts w:ascii="Calibri" w:hAnsi="Calibri"/>
          <w:sz w:val="22"/>
          <w:szCs w:val="22"/>
          <w:lang w:val="en-GB" w:eastAsia="en-US"/>
        </w:rPr>
        <w:t>section, are</w:t>
      </w:r>
      <w:r w:rsidRPr="00B61623">
        <w:rPr>
          <w:rFonts w:ascii="Calibri" w:hAnsi="Calibri"/>
          <w:sz w:val="22"/>
          <w:szCs w:val="22"/>
          <w:lang w:val="en-GB" w:eastAsia="en-US"/>
        </w:rPr>
        <w:t xml:space="preserve"> subject to substantial changes during the year.  That is why the analysis will mainly focus on the </w:t>
      </w:r>
      <w:r w:rsidR="00505204">
        <w:rPr>
          <w:rFonts w:ascii="Calibri" w:hAnsi="Calibri"/>
          <w:sz w:val="22"/>
          <w:szCs w:val="22"/>
          <w:lang w:val="en-GB" w:eastAsia="en-US"/>
        </w:rPr>
        <w:t>previous</w:t>
      </w:r>
      <w:r w:rsidRPr="00B61623">
        <w:rPr>
          <w:rFonts w:ascii="Calibri" w:hAnsi="Calibri"/>
          <w:sz w:val="22"/>
          <w:szCs w:val="22"/>
          <w:lang w:val="en-GB" w:eastAsia="en-US"/>
        </w:rPr>
        <w:t xml:space="preserve"> years.  </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B61623" w:rsidP="00B61623">
      <w:pPr>
        <w:spacing w:line="276" w:lineRule="auto"/>
        <w:jc w:val="both"/>
        <w:rPr>
          <w:rFonts w:ascii="Calibri" w:hAnsi="Calibri"/>
          <w:sz w:val="22"/>
          <w:szCs w:val="22"/>
          <w:lang w:val="en-GB" w:eastAsia="en-US"/>
        </w:rPr>
      </w:pPr>
      <w:r w:rsidRPr="00B61623">
        <w:rPr>
          <w:rFonts w:ascii="Calibri" w:hAnsi="Calibri"/>
          <w:sz w:val="22"/>
          <w:szCs w:val="22"/>
          <w:lang w:val="en-GB" w:eastAsia="en-US"/>
        </w:rPr>
        <w:t>It can be seen that the relative importance of ordinary resources has gone down considerably from the starting point of 2006. However in absolute terms it has not decreased. The other sources are the ones who have risen well beyond this first one, with the exception of resources by credit operations.</w:t>
      </w:r>
      <w:r w:rsidR="003F351B">
        <w:rPr>
          <w:rFonts w:ascii="Calibri" w:hAnsi="Calibri"/>
          <w:sz w:val="22"/>
          <w:szCs w:val="22"/>
          <w:lang w:val="en-GB" w:eastAsia="en-US"/>
        </w:rPr>
        <w:t xml:space="preserve"> </w:t>
      </w:r>
      <w:r w:rsidRPr="00B61623">
        <w:rPr>
          <w:rFonts w:ascii="Calibri" w:hAnsi="Calibri"/>
          <w:sz w:val="22"/>
          <w:szCs w:val="22"/>
          <w:lang w:val="en-GB" w:eastAsia="en-US"/>
        </w:rPr>
        <w:t>The fact that resources directly collected have increased is explained because many projects have already become operational and therefore have become new sources of income for the EPS.</w:t>
      </w:r>
    </w:p>
    <w:p w:rsidR="00B61623" w:rsidRPr="00B61623" w:rsidRDefault="00B61623" w:rsidP="00B61623">
      <w:pPr>
        <w:spacing w:line="276" w:lineRule="auto"/>
        <w:jc w:val="both"/>
        <w:rPr>
          <w:rFonts w:ascii="Calibri" w:hAnsi="Calibri"/>
          <w:sz w:val="22"/>
          <w:szCs w:val="22"/>
          <w:lang w:val="en-GB" w:eastAsia="en-US"/>
        </w:rPr>
      </w:pPr>
    </w:p>
    <w:p w:rsidR="00B61623" w:rsidRPr="00B61623" w:rsidRDefault="003F351B" w:rsidP="00B61623">
      <w:pPr>
        <w:spacing w:line="276" w:lineRule="auto"/>
        <w:jc w:val="both"/>
        <w:rPr>
          <w:rFonts w:ascii="Calibri" w:hAnsi="Calibri"/>
          <w:sz w:val="22"/>
          <w:szCs w:val="22"/>
          <w:lang w:val="en-GB" w:eastAsia="en-US"/>
        </w:rPr>
      </w:pPr>
      <w:r>
        <w:rPr>
          <w:rFonts w:ascii="Calibri" w:hAnsi="Calibri"/>
          <w:sz w:val="22"/>
          <w:szCs w:val="22"/>
          <w:lang w:val="en-GB" w:eastAsia="en-US"/>
        </w:rPr>
        <w:t>On the other hand, t</w:t>
      </w:r>
      <w:r w:rsidR="00B61623" w:rsidRPr="00B61623">
        <w:rPr>
          <w:rFonts w:ascii="Calibri" w:hAnsi="Calibri"/>
          <w:sz w:val="22"/>
          <w:szCs w:val="22"/>
          <w:lang w:val="en-GB" w:eastAsia="en-US"/>
        </w:rPr>
        <w:t xml:space="preserve">he donations and transfers item is explained basically by the transfer section. </w:t>
      </w:r>
      <w:r w:rsidR="00365882">
        <w:rPr>
          <w:rFonts w:ascii="Calibri" w:hAnsi="Calibri"/>
          <w:sz w:val="22"/>
          <w:szCs w:val="22"/>
          <w:lang w:val="en-GB" w:eastAsia="en-US"/>
        </w:rPr>
        <w:t>In the last two years (</w:t>
      </w:r>
      <w:r w:rsidR="00B61623" w:rsidRPr="00B61623">
        <w:rPr>
          <w:rFonts w:ascii="Calibri" w:hAnsi="Calibri"/>
          <w:sz w:val="22"/>
          <w:szCs w:val="22"/>
          <w:lang w:val="en-GB" w:eastAsia="en-US"/>
        </w:rPr>
        <w:t>2007</w:t>
      </w:r>
      <w:r w:rsidR="00365882">
        <w:rPr>
          <w:rFonts w:ascii="Calibri" w:hAnsi="Calibri"/>
          <w:sz w:val="22"/>
          <w:szCs w:val="22"/>
          <w:lang w:val="en-GB" w:eastAsia="en-US"/>
        </w:rPr>
        <w:t>-</w:t>
      </w:r>
      <w:r w:rsidR="00B61623" w:rsidRPr="00B61623">
        <w:rPr>
          <w:rFonts w:ascii="Calibri" w:hAnsi="Calibri"/>
          <w:sz w:val="22"/>
          <w:szCs w:val="22"/>
          <w:lang w:val="en-GB" w:eastAsia="en-US"/>
        </w:rPr>
        <w:t>2008</w:t>
      </w:r>
      <w:r w:rsidR="00365882">
        <w:rPr>
          <w:rFonts w:ascii="Calibri" w:hAnsi="Calibri"/>
          <w:sz w:val="22"/>
          <w:szCs w:val="22"/>
          <w:lang w:val="en-GB" w:eastAsia="en-US"/>
        </w:rPr>
        <w:t xml:space="preserve">) the economy experienced high </w:t>
      </w:r>
      <w:r w:rsidR="00B61623" w:rsidRPr="00B61623">
        <w:rPr>
          <w:rFonts w:ascii="Calibri" w:hAnsi="Calibri"/>
          <w:sz w:val="22"/>
          <w:szCs w:val="22"/>
          <w:lang w:val="en-GB" w:eastAsia="en-US"/>
        </w:rPr>
        <w:t xml:space="preserve">growth </w:t>
      </w:r>
      <w:r w:rsidR="00365882">
        <w:rPr>
          <w:rFonts w:ascii="Calibri" w:hAnsi="Calibri"/>
          <w:sz w:val="22"/>
          <w:szCs w:val="22"/>
          <w:lang w:val="en-GB" w:eastAsia="en-US"/>
        </w:rPr>
        <w:t>rates</w:t>
      </w:r>
      <w:r w:rsidR="00B61623" w:rsidRPr="00B61623">
        <w:rPr>
          <w:rFonts w:ascii="Calibri" w:hAnsi="Calibri"/>
          <w:sz w:val="22"/>
          <w:szCs w:val="22"/>
          <w:lang w:val="en-GB" w:eastAsia="en-US"/>
        </w:rPr>
        <w:t>, which meant that the government had more income to distribute</w:t>
      </w:r>
      <w:r w:rsidR="00365882">
        <w:rPr>
          <w:rFonts w:ascii="Calibri" w:hAnsi="Calibri"/>
          <w:sz w:val="22"/>
          <w:szCs w:val="22"/>
          <w:lang w:val="en-GB" w:eastAsia="en-US"/>
        </w:rPr>
        <w:t xml:space="preserve"> given that the extra resources came from a commodity price boom</w:t>
      </w:r>
      <w:r w:rsidR="00B61623" w:rsidRPr="00B61623">
        <w:rPr>
          <w:rFonts w:ascii="Calibri" w:hAnsi="Calibri"/>
          <w:sz w:val="22"/>
          <w:szCs w:val="22"/>
          <w:lang w:val="en-GB" w:eastAsia="en-US"/>
        </w:rPr>
        <w:t xml:space="preserve">. </w:t>
      </w:r>
      <w:r w:rsidR="009463B8">
        <w:rPr>
          <w:rFonts w:ascii="Calibri" w:hAnsi="Calibri"/>
          <w:sz w:val="22"/>
          <w:szCs w:val="22"/>
          <w:lang w:val="en-GB" w:eastAsia="en-US"/>
        </w:rPr>
        <w:t>Those</w:t>
      </w:r>
      <w:r w:rsidR="00B61623" w:rsidRPr="00B61623">
        <w:rPr>
          <w:rFonts w:ascii="Calibri" w:hAnsi="Calibri"/>
          <w:sz w:val="22"/>
          <w:szCs w:val="22"/>
          <w:lang w:val="en-GB" w:eastAsia="en-US"/>
        </w:rPr>
        <w:t xml:space="preserve"> high prices made it possible to have more canon and sobrecanon and </w:t>
      </w:r>
      <w:r w:rsidR="009463B8">
        <w:rPr>
          <w:rFonts w:ascii="Calibri" w:hAnsi="Calibri"/>
          <w:sz w:val="22"/>
          <w:szCs w:val="22"/>
          <w:lang w:val="en-GB" w:eastAsia="en-US"/>
        </w:rPr>
        <w:t>royalties</w:t>
      </w:r>
      <w:r w:rsidR="00B61623" w:rsidRPr="00B61623">
        <w:rPr>
          <w:rFonts w:ascii="Calibri" w:hAnsi="Calibri"/>
          <w:sz w:val="22"/>
          <w:szCs w:val="22"/>
          <w:lang w:val="en-GB" w:eastAsia="en-US"/>
        </w:rPr>
        <w:t xml:space="preserve">, which in turn helped promote different </w:t>
      </w:r>
      <w:r w:rsidR="009463B8" w:rsidRPr="00B61623">
        <w:rPr>
          <w:rFonts w:ascii="Calibri" w:hAnsi="Calibri"/>
          <w:sz w:val="22"/>
          <w:szCs w:val="22"/>
          <w:lang w:val="en-GB" w:eastAsia="en-US"/>
        </w:rPr>
        <w:t xml:space="preserve">infrastructure </w:t>
      </w:r>
      <w:r w:rsidR="00B61623" w:rsidRPr="00B61623">
        <w:rPr>
          <w:rFonts w:ascii="Calibri" w:hAnsi="Calibri"/>
          <w:sz w:val="22"/>
          <w:szCs w:val="22"/>
          <w:lang w:val="en-GB" w:eastAsia="en-US"/>
        </w:rPr>
        <w:t xml:space="preserve">investments. </w:t>
      </w:r>
    </w:p>
    <w:p w:rsidR="00DC500A" w:rsidRPr="009463B8" w:rsidRDefault="00DC500A" w:rsidP="00DC500A">
      <w:pPr>
        <w:pStyle w:val="Ttulo2"/>
        <w:spacing w:before="0"/>
        <w:rPr>
          <w:rStyle w:val="nfasisintenso"/>
          <w:lang w:val="en-GB"/>
        </w:rPr>
      </w:pPr>
    </w:p>
    <w:p w:rsidR="00901378" w:rsidRPr="00DC500A" w:rsidRDefault="00677274" w:rsidP="00DC500A">
      <w:pPr>
        <w:pStyle w:val="Ttulo2"/>
        <w:numPr>
          <w:ilvl w:val="0"/>
          <w:numId w:val="16"/>
        </w:numPr>
        <w:spacing w:before="0"/>
        <w:rPr>
          <w:rStyle w:val="nfasisintenso"/>
          <w:lang w:val="en-US"/>
        </w:rPr>
      </w:pPr>
      <w:bookmarkStart w:id="13" w:name="_Toc254912253"/>
      <w:r w:rsidRPr="00DC500A">
        <w:rPr>
          <w:rStyle w:val="nfasisintenso"/>
          <w:lang w:val="en-US"/>
        </w:rPr>
        <w:t>Methodology</w:t>
      </w:r>
      <w:r w:rsidR="00B94BFE">
        <w:rPr>
          <w:rStyle w:val="nfasisintenso"/>
          <w:lang w:val="en-US"/>
        </w:rPr>
        <w:t xml:space="preserve"> and Assumptions made</w:t>
      </w:r>
      <w:bookmarkEnd w:id="13"/>
    </w:p>
    <w:p w:rsidR="00901378" w:rsidRDefault="00901378" w:rsidP="0088722D">
      <w:pPr>
        <w:spacing w:line="276" w:lineRule="auto"/>
        <w:jc w:val="both"/>
        <w:rPr>
          <w:rFonts w:ascii="Calibri" w:eastAsia="Calibri" w:hAnsi="Calibri"/>
          <w:bCs/>
          <w:sz w:val="22"/>
          <w:szCs w:val="20"/>
          <w:lang w:val="en-US" w:eastAsia="en-US"/>
        </w:rPr>
      </w:pPr>
    </w:p>
    <w:p w:rsidR="008E5A18" w:rsidRPr="0088722D" w:rsidRDefault="002D0D0D" w:rsidP="0088722D">
      <w:pPr>
        <w:spacing w:after="200"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The methodology </w:t>
      </w:r>
      <w:r w:rsidR="009463B8">
        <w:rPr>
          <w:rFonts w:ascii="Calibri" w:eastAsia="Calibri" w:hAnsi="Calibri"/>
          <w:bCs/>
          <w:sz w:val="22"/>
          <w:szCs w:val="20"/>
          <w:lang w:val="en-US" w:eastAsia="en-US"/>
        </w:rPr>
        <w:t xml:space="preserve">starts by </w:t>
      </w:r>
      <w:r w:rsidRPr="0088722D">
        <w:rPr>
          <w:rFonts w:ascii="Calibri" w:eastAsia="Calibri" w:hAnsi="Calibri"/>
          <w:bCs/>
          <w:sz w:val="22"/>
          <w:szCs w:val="20"/>
          <w:lang w:val="en-US" w:eastAsia="en-US"/>
        </w:rPr>
        <w:t xml:space="preserve">analyzing </w:t>
      </w:r>
      <w:r w:rsidR="008E5A18" w:rsidRPr="0088722D">
        <w:rPr>
          <w:rFonts w:ascii="Calibri" w:eastAsia="Calibri" w:hAnsi="Calibri"/>
          <w:bCs/>
          <w:sz w:val="22"/>
          <w:szCs w:val="20"/>
          <w:lang w:val="en-US" w:eastAsia="en-US"/>
        </w:rPr>
        <w:t xml:space="preserve">the sanitation budget and decomposing its accounts in order to have information of how it is financed and how are the resources spent. The first step was identifying the sanitation sector. </w:t>
      </w:r>
      <w:r w:rsidR="00D233D8" w:rsidRPr="0088722D">
        <w:rPr>
          <w:rFonts w:ascii="Calibri" w:eastAsia="Calibri" w:hAnsi="Calibri"/>
          <w:bCs/>
          <w:sz w:val="22"/>
          <w:szCs w:val="20"/>
          <w:lang w:val="en-US" w:eastAsia="en-US"/>
        </w:rPr>
        <w:t xml:space="preserve">Then, information was given of how it was financed and through which channels. After this first exploration, the expenditures were analyzed. They </w:t>
      </w:r>
      <w:r w:rsidR="00D233D8" w:rsidRPr="0088722D">
        <w:rPr>
          <w:rFonts w:ascii="Calibri" w:eastAsia="Calibri" w:hAnsi="Calibri"/>
          <w:bCs/>
          <w:sz w:val="22"/>
          <w:szCs w:val="20"/>
          <w:lang w:val="en-US" w:eastAsia="en-US"/>
        </w:rPr>
        <w:lastRenderedPageBreak/>
        <w:t xml:space="preserve">were classified in current and capital following the definitions established by the MEF and the information was then summarized for the years required. </w:t>
      </w:r>
    </w:p>
    <w:p w:rsidR="0042297F" w:rsidRPr="0042297F" w:rsidRDefault="00724FFD" w:rsidP="00F42B98">
      <w:pPr>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To select the entries related to wages it was clear that more detail was needed because general items like goods and services </w:t>
      </w:r>
      <w:r w:rsidR="00AC3A2C">
        <w:rPr>
          <w:rFonts w:ascii="Calibri" w:eastAsia="Calibri" w:hAnsi="Calibri"/>
          <w:bCs/>
          <w:sz w:val="22"/>
          <w:szCs w:val="20"/>
          <w:lang w:val="en-US" w:eastAsia="en-US"/>
        </w:rPr>
        <w:t xml:space="preserve">also </w:t>
      </w:r>
      <w:r w:rsidRPr="0088722D">
        <w:rPr>
          <w:rFonts w:ascii="Calibri" w:eastAsia="Calibri" w:hAnsi="Calibri"/>
          <w:bCs/>
          <w:sz w:val="22"/>
          <w:szCs w:val="20"/>
          <w:lang w:val="en-US" w:eastAsia="en-US"/>
        </w:rPr>
        <w:t>include short term contracts that are not accounted in personnel and social obligations</w:t>
      </w:r>
      <w:r w:rsidRPr="00F42B98">
        <w:rPr>
          <w:rFonts w:ascii="Calibri" w:eastAsia="Calibri" w:hAnsi="Calibri"/>
          <w:bCs/>
          <w:sz w:val="22"/>
          <w:szCs w:val="20"/>
          <w:lang w:val="en-US" w:eastAsia="en-US"/>
        </w:rPr>
        <w:t xml:space="preserve">. </w:t>
      </w:r>
      <w:r w:rsidRPr="00AC3A2C">
        <w:rPr>
          <w:rFonts w:ascii="Calibri" w:eastAsia="Calibri" w:hAnsi="Calibri"/>
          <w:bCs/>
          <w:sz w:val="22"/>
          <w:szCs w:val="20"/>
          <w:lang w:val="en-US" w:eastAsia="en-US"/>
        </w:rPr>
        <w:t>Therefore, a close inspection of each category was needed to sort them out correctly.</w:t>
      </w:r>
      <w:r w:rsidR="0042297F" w:rsidRPr="00AC3A2C">
        <w:rPr>
          <w:rFonts w:ascii="Calibri" w:eastAsia="Calibri" w:hAnsi="Calibri"/>
          <w:bCs/>
          <w:sz w:val="22"/>
          <w:szCs w:val="20"/>
          <w:lang w:val="en-US" w:eastAsia="en-US"/>
        </w:rPr>
        <w:t xml:space="preserve"> For example, </w:t>
      </w:r>
      <w:r w:rsidR="00AC3A2C" w:rsidRPr="00AC3A2C">
        <w:rPr>
          <w:rFonts w:ascii="Calibri" w:eastAsia="Calibri" w:hAnsi="Calibri"/>
          <w:bCs/>
          <w:sz w:val="22"/>
          <w:szCs w:val="20"/>
          <w:lang w:val="en-US" w:eastAsia="en-US"/>
        </w:rPr>
        <w:t>in the budget’s categories</w:t>
      </w:r>
      <w:r w:rsidR="0042297F" w:rsidRPr="00AC3A2C">
        <w:rPr>
          <w:rFonts w:ascii="Calibri" w:eastAsia="Calibri" w:hAnsi="Calibri"/>
          <w:bCs/>
          <w:sz w:val="22"/>
          <w:szCs w:val="20"/>
          <w:lang w:val="en-US" w:eastAsia="en-US"/>
        </w:rPr>
        <w:t xml:space="preserve"> it was found that the Consultancy Services Hiring (CAS, for its Spanish acronym) </w:t>
      </w:r>
      <w:r w:rsidR="00AC3A2C" w:rsidRPr="00AC3A2C">
        <w:rPr>
          <w:rFonts w:ascii="Calibri" w:eastAsia="Calibri" w:hAnsi="Calibri"/>
          <w:bCs/>
          <w:sz w:val="22"/>
          <w:szCs w:val="20"/>
          <w:lang w:val="en-US" w:eastAsia="en-US"/>
        </w:rPr>
        <w:t>was</w:t>
      </w:r>
      <w:r w:rsidR="0042297F" w:rsidRPr="00AC3A2C">
        <w:rPr>
          <w:rFonts w:ascii="Calibri" w:eastAsia="Calibri" w:hAnsi="Calibri"/>
          <w:bCs/>
          <w:sz w:val="22"/>
          <w:szCs w:val="20"/>
          <w:lang w:val="en-US" w:eastAsia="en-US"/>
        </w:rPr>
        <w:t xml:space="preserve"> part of the spending related to the Goods and Services category.</w:t>
      </w:r>
      <w:r w:rsidR="0042297F" w:rsidRPr="0042297F">
        <w:rPr>
          <w:rFonts w:ascii="Calibri" w:eastAsia="Calibri" w:hAnsi="Calibri"/>
          <w:bCs/>
          <w:sz w:val="22"/>
          <w:szCs w:val="20"/>
          <w:lang w:val="en-US" w:eastAsia="en-US"/>
        </w:rPr>
        <w:t xml:space="preserve"> However, for the purpose of this analysis, it has been assumed that CAS must be considered as part of the Wages expenses. Otherwise, this category could be underestimated and the analysis could lead us to mistaken conclusions.</w:t>
      </w:r>
    </w:p>
    <w:p w:rsidR="004F1EB2" w:rsidRDefault="004F1EB2" w:rsidP="0088722D">
      <w:pPr>
        <w:spacing w:line="276" w:lineRule="auto"/>
        <w:jc w:val="both"/>
        <w:rPr>
          <w:rFonts w:ascii="Calibri" w:eastAsia="Calibri" w:hAnsi="Calibri"/>
          <w:bCs/>
          <w:sz w:val="22"/>
          <w:szCs w:val="20"/>
          <w:lang w:val="en-US" w:eastAsia="en-US"/>
        </w:rPr>
      </w:pPr>
    </w:p>
    <w:p w:rsidR="008E5A18" w:rsidRDefault="00724FFD" w:rsidP="0088722D">
      <w:pPr>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Also, in the donations for capital expenditure, each of the </w:t>
      </w:r>
      <w:r w:rsidR="00AC3A2C">
        <w:rPr>
          <w:rFonts w:ascii="Calibri" w:eastAsia="Calibri" w:hAnsi="Calibri"/>
          <w:bCs/>
          <w:sz w:val="22"/>
          <w:szCs w:val="20"/>
          <w:lang w:val="en-US" w:eastAsia="en-US"/>
        </w:rPr>
        <w:t>subcategories</w:t>
      </w:r>
      <w:r w:rsidRPr="0088722D">
        <w:rPr>
          <w:rFonts w:ascii="Calibri" w:eastAsia="Calibri" w:hAnsi="Calibri"/>
          <w:bCs/>
          <w:sz w:val="22"/>
          <w:szCs w:val="20"/>
          <w:lang w:val="en-US" w:eastAsia="en-US"/>
        </w:rPr>
        <w:t xml:space="preserve"> that composed this broader one had to be analyzed to identify which amounts donated had been used for this specific purpose.</w:t>
      </w:r>
      <w:r w:rsidR="0042297F">
        <w:rPr>
          <w:rFonts w:ascii="Calibri" w:eastAsia="Calibri" w:hAnsi="Calibri"/>
          <w:bCs/>
          <w:sz w:val="22"/>
          <w:szCs w:val="20"/>
          <w:lang w:val="en-US" w:eastAsia="en-US"/>
        </w:rPr>
        <w:t xml:space="preserve"> </w:t>
      </w:r>
    </w:p>
    <w:p w:rsidR="00A14995" w:rsidRDefault="00A14995" w:rsidP="0088722D">
      <w:pPr>
        <w:spacing w:line="276" w:lineRule="auto"/>
        <w:jc w:val="both"/>
        <w:rPr>
          <w:rFonts w:ascii="Calibri" w:eastAsia="Calibri" w:hAnsi="Calibri"/>
          <w:bCs/>
          <w:sz w:val="22"/>
          <w:szCs w:val="20"/>
          <w:lang w:val="en-US" w:eastAsia="en-US"/>
        </w:rPr>
      </w:pPr>
    </w:p>
    <w:p w:rsidR="0045515D" w:rsidRPr="00DC500A" w:rsidRDefault="00FF337A" w:rsidP="00DC500A">
      <w:pPr>
        <w:pStyle w:val="Ttulo2"/>
        <w:numPr>
          <w:ilvl w:val="0"/>
          <w:numId w:val="16"/>
        </w:numPr>
        <w:spacing w:before="0"/>
        <w:rPr>
          <w:rStyle w:val="nfasisintenso"/>
          <w:lang w:val="en-US"/>
        </w:rPr>
      </w:pPr>
      <w:bookmarkStart w:id="14" w:name="_Toc254912254"/>
      <w:r w:rsidRPr="00DC500A">
        <w:rPr>
          <w:rStyle w:val="nfasisintenso"/>
          <w:lang w:val="en-US"/>
        </w:rPr>
        <w:t>Results and Discussion</w:t>
      </w:r>
      <w:bookmarkEnd w:id="14"/>
    </w:p>
    <w:p w:rsidR="00620D3D" w:rsidRPr="0088722D" w:rsidRDefault="00620D3D" w:rsidP="00620D3D">
      <w:pPr>
        <w:spacing w:line="360" w:lineRule="auto"/>
        <w:rPr>
          <w:rFonts w:ascii="Calibri" w:eastAsia="Calibri" w:hAnsi="Calibri"/>
          <w:bCs/>
          <w:sz w:val="22"/>
          <w:szCs w:val="20"/>
          <w:lang w:val="en-US" w:eastAsia="en-US"/>
        </w:rPr>
      </w:pPr>
    </w:p>
    <w:p w:rsidR="00D64900" w:rsidRPr="0088722D" w:rsidRDefault="0059195B" w:rsidP="003A6A39">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Table 3</w:t>
      </w:r>
      <w:r w:rsidR="006971C5" w:rsidRPr="0088722D">
        <w:rPr>
          <w:rFonts w:ascii="Calibri" w:eastAsia="Calibri" w:hAnsi="Calibri"/>
          <w:bCs/>
          <w:sz w:val="22"/>
          <w:szCs w:val="20"/>
          <w:lang w:val="en-US" w:eastAsia="en-US"/>
        </w:rPr>
        <w:t xml:space="preserve"> </w:t>
      </w:r>
      <w:r w:rsidR="00CA5248" w:rsidRPr="0088722D">
        <w:rPr>
          <w:rFonts w:ascii="Calibri" w:eastAsia="Calibri" w:hAnsi="Calibri"/>
          <w:bCs/>
          <w:sz w:val="22"/>
          <w:szCs w:val="20"/>
          <w:lang w:val="en-US" w:eastAsia="en-US"/>
        </w:rPr>
        <w:t>indicates the level of expenditure in the sanitation sector. There is a trend of growing spending (despite the fact that for 2009 it was initially budgeted only 1 667 millions of Nuevos Soles, later modifications have rendered this amount to be more than 3 000 million</w:t>
      </w:r>
      <w:r>
        <w:rPr>
          <w:rFonts w:ascii="Calibri" w:eastAsia="Calibri" w:hAnsi="Calibri"/>
          <w:bCs/>
          <w:sz w:val="22"/>
          <w:szCs w:val="20"/>
          <w:lang w:val="en-US" w:eastAsia="en-US"/>
        </w:rPr>
        <w:t>s, in constant prices</w:t>
      </w:r>
      <w:r w:rsidR="00CA5248" w:rsidRPr="0088722D">
        <w:rPr>
          <w:rFonts w:ascii="Calibri" w:eastAsia="Calibri" w:hAnsi="Calibri"/>
          <w:bCs/>
          <w:sz w:val="22"/>
          <w:szCs w:val="20"/>
          <w:lang w:val="en-US" w:eastAsia="en-US"/>
        </w:rPr>
        <w:t xml:space="preserve">). </w:t>
      </w:r>
    </w:p>
    <w:p w:rsidR="00CA5248" w:rsidRPr="0088722D" w:rsidRDefault="00CA5248" w:rsidP="003A6A39">
      <w:pPr>
        <w:spacing w:line="276" w:lineRule="auto"/>
        <w:rPr>
          <w:rFonts w:ascii="Calibri" w:eastAsia="Calibri" w:hAnsi="Calibri"/>
          <w:bCs/>
          <w:sz w:val="22"/>
          <w:szCs w:val="20"/>
          <w:lang w:val="en-US" w:eastAsia="en-US"/>
        </w:rPr>
      </w:pPr>
    </w:p>
    <w:p w:rsidR="00CA5248" w:rsidRPr="0086565C" w:rsidRDefault="00CA5248" w:rsidP="003A6A39">
      <w:pPr>
        <w:pStyle w:val="Epgrafe"/>
        <w:jc w:val="center"/>
        <w:rPr>
          <w:rFonts w:ascii="Calibri" w:eastAsia="Calibri" w:hAnsi="Calibri"/>
          <w:color w:val="4F81BD"/>
          <w:sz w:val="22"/>
          <w:szCs w:val="22"/>
          <w:lang w:val="en-US" w:eastAsia="en-US"/>
        </w:rPr>
      </w:pPr>
      <w:r w:rsidRPr="0086565C">
        <w:rPr>
          <w:rFonts w:ascii="Calibri" w:eastAsia="Calibri" w:hAnsi="Calibri"/>
          <w:color w:val="4F81BD"/>
          <w:sz w:val="22"/>
          <w:szCs w:val="22"/>
          <w:lang w:val="en-US" w:eastAsia="en-US"/>
        </w:rPr>
        <w:t xml:space="preserve">Table </w:t>
      </w:r>
      <w:r w:rsidR="00DD7CFF" w:rsidRPr="0086565C">
        <w:rPr>
          <w:rFonts w:ascii="Calibri" w:eastAsia="Calibri" w:hAnsi="Calibri"/>
          <w:color w:val="4F81BD"/>
          <w:sz w:val="22"/>
          <w:szCs w:val="22"/>
          <w:lang w:val="en-US" w:eastAsia="en-US"/>
        </w:rPr>
        <w:fldChar w:fldCharType="begin"/>
      </w:r>
      <w:r w:rsidRPr="0086565C">
        <w:rPr>
          <w:rFonts w:ascii="Calibri" w:eastAsia="Calibri" w:hAnsi="Calibri"/>
          <w:color w:val="4F81BD"/>
          <w:sz w:val="22"/>
          <w:szCs w:val="22"/>
          <w:lang w:val="en-US" w:eastAsia="en-US"/>
        </w:rPr>
        <w:instrText xml:space="preserve"> SEQ Table_ \* ARABIC </w:instrText>
      </w:r>
      <w:r w:rsidR="00DD7CFF" w:rsidRPr="0086565C">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3</w:t>
      </w:r>
      <w:r w:rsidR="00DD7CFF" w:rsidRPr="0086565C">
        <w:rPr>
          <w:rFonts w:ascii="Calibri" w:eastAsia="Calibri" w:hAnsi="Calibri"/>
          <w:color w:val="4F81BD"/>
          <w:sz w:val="22"/>
          <w:szCs w:val="22"/>
          <w:lang w:val="en-US" w:eastAsia="en-US"/>
        </w:rPr>
        <w:fldChar w:fldCharType="end"/>
      </w:r>
    </w:p>
    <w:p w:rsidR="009C245D" w:rsidRDefault="00786AEB" w:rsidP="009C245D">
      <w:pPr>
        <w:tabs>
          <w:tab w:val="left" w:pos="440"/>
        </w:tabs>
        <w:spacing w:line="276" w:lineRule="auto"/>
        <w:jc w:val="center"/>
        <w:rPr>
          <w:rFonts w:ascii="Calibri" w:eastAsia="Calibri" w:hAnsi="Calibri"/>
          <w:bCs/>
          <w:sz w:val="22"/>
          <w:szCs w:val="20"/>
          <w:lang w:val="en-US" w:eastAsia="en-US"/>
        </w:rPr>
      </w:pPr>
      <w:r>
        <w:rPr>
          <w:rFonts w:eastAsia="Calibri"/>
          <w:noProof/>
          <w:szCs w:val="20"/>
          <w:lang w:val="es-PE" w:eastAsia="es-PE"/>
        </w:rPr>
        <w:drawing>
          <wp:inline distT="0" distB="0" distL="0" distR="0">
            <wp:extent cx="5400040" cy="215646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400040" cy="2156460"/>
                    </a:xfrm>
                    <a:prstGeom prst="rect">
                      <a:avLst/>
                    </a:prstGeom>
                    <a:noFill/>
                    <a:ln w="9525">
                      <a:noFill/>
                      <a:miter lim="800000"/>
                      <a:headEnd/>
                      <a:tailEnd/>
                    </a:ln>
                  </pic:spPr>
                </pic:pic>
              </a:graphicData>
            </a:graphic>
          </wp:inline>
        </w:drawing>
      </w:r>
    </w:p>
    <w:p w:rsidR="009C245D" w:rsidRPr="003A6A39" w:rsidRDefault="009C245D" w:rsidP="009C245D">
      <w:pPr>
        <w:spacing w:line="276" w:lineRule="auto"/>
        <w:jc w:val="both"/>
        <w:rPr>
          <w:rFonts w:ascii="Calibri" w:eastAsia="Calibri" w:hAnsi="Calibri"/>
          <w:bCs/>
          <w:sz w:val="16"/>
          <w:szCs w:val="16"/>
          <w:lang w:val="en-US" w:eastAsia="en-US"/>
        </w:rPr>
      </w:pPr>
      <w:r w:rsidRPr="003A6A39">
        <w:rPr>
          <w:rFonts w:ascii="Calibri" w:eastAsia="Calibri" w:hAnsi="Calibri"/>
          <w:bCs/>
          <w:sz w:val="16"/>
          <w:szCs w:val="16"/>
          <w:lang w:val="en-US" w:eastAsia="en-US"/>
        </w:rPr>
        <w:t xml:space="preserve">Source: MEF – Transparencia Económica </w:t>
      </w:r>
    </w:p>
    <w:p w:rsidR="009C245D" w:rsidRDefault="009C245D" w:rsidP="003A6A39">
      <w:pPr>
        <w:tabs>
          <w:tab w:val="left" w:pos="440"/>
        </w:tabs>
        <w:spacing w:line="276" w:lineRule="auto"/>
        <w:jc w:val="both"/>
        <w:rPr>
          <w:rFonts w:ascii="Calibri" w:eastAsia="Calibri" w:hAnsi="Calibri"/>
          <w:bCs/>
          <w:sz w:val="22"/>
          <w:szCs w:val="20"/>
          <w:lang w:val="en-US" w:eastAsia="en-US"/>
        </w:rPr>
      </w:pPr>
    </w:p>
    <w:p w:rsidR="00EE674C" w:rsidRPr="0088722D" w:rsidRDefault="00EE674C"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As </w:t>
      </w:r>
      <w:r w:rsidR="00DE7287">
        <w:rPr>
          <w:rFonts w:ascii="Calibri" w:eastAsia="Calibri" w:hAnsi="Calibri"/>
          <w:bCs/>
          <w:sz w:val="22"/>
          <w:szCs w:val="20"/>
          <w:lang w:val="en-US" w:eastAsia="en-US"/>
        </w:rPr>
        <w:t>expected</w:t>
      </w:r>
      <w:r w:rsidRPr="0088722D">
        <w:rPr>
          <w:rFonts w:ascii="Calibri" w:eastAsia="Calibri" w:hAnsi="Calibri"/>
          <w:bCs/>
          <w:sz w:val="22"/>
          <w:szCs w:val="20"/>
          <w:lang w:val="en-US" w:eastAsia="en-US"/>
        </w:rPr>
        <w:t xml:space="preserve"> in this sector the infrastructure is the principal account. Even though recurrent expenditures have risen considerably, still the capital is the main issue to consider</w:t>
      </w:r>
      <w:r w:rsidR="009B53F0">
        <w:rPr>
          <w:rFonts w:ascii="Calibri" w:eastAsia="Calibri" w:hAnsi="Calibri"/>
          <w:bCs/>
          <w:sz w:val="22"/>
          <w:szCs w:val="20"/>
          <w:lang w:val="en-US" w:eastAsia="en-US"/>
        </w:rPr>
        <w:t>, as can be seen in Table 4</w:t>
      </w:r>
      <w:r w:rsidRPr="0088722D">
        <w:rPr>
          <w:rFonts w:ascii="Calibri" w:eastAsia="Calibri" w:hAnsi="Calibri"/>
          <w:bCs/>
          <w:sz w:val="22"/>
          <w:szCs w:val="20"/>
          <w:lang w:val="en-US" w:eastAsia="en-US"/>
        </w:rPr>
        <w:t>.</w:t>
      </w:r>
    </w:p>
    <w:p w:rsidR="00D64900" w:rsidRPr="008055A2" w:rsidRDefault="00CF6B21" w:rsidP="003A6A39">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CA5248" w:rsidRPr="008055A2">
        <w:rPr>
          <w:rFonts w:ascii="Calibri" w:eastAsia="Calibri" w:hAnsi="Calibri"/>
          <w:color w:val="4F81BD"/>
          <w:sz w:val="22"/>
          <w:szCs w:val="22"/>
          <w:lang w:val="en-US" w:eastAsia="en-US"/>
        </w:rPr>
        <w:lastRenderedPageBreak/>
        <w:t xml:space="preserve">Table  </w:t>
      </w:r>
      <w:r w:rsidR="00DD7CFF" w:rsidRPr="008055A2">
        <w:rPr>
          <w:rFonts w:ascii="Calibri" w:eastAsia="Calibri" w:hAnsi="Calibri"/>
          <w:color w:val="4F81BD"/>
          <w:sz w:val="22"/>
          <w:szCs w:val="22"/>
          <w:lang w:val="en-US" w:eastAsia="en-US"/>
        </w:rPr>
        <w:fldChar w:fldCharType="begin"/>
      </w:r>
      <w:r w:rsidR="00CA5248" w:rsidRPr="008055A2">
        <w:rPr>
          <w:rFonts w:ascii="Calibri" w:eastAsia="Calibri" w:hAnsi="Calibri"/>
          <w:color w:val="4F81BD"/>
          <w:sz w:val="22"/>
          <w:szCs w:val="22"/>
          <w:lang w:val="en-US" w:eastAsia="en-US"/>
        </w:rPr>
        <w:instrText xml:space="preserve"> SEQ Table_ \* ARABIC </w:instrText>
      </w:r>
      <w:r w:rsidR="00DD7CFF" w:rsidRPr="008055A2">
        <w:rPr>
          <w:rFonts w:ascii="Calibri" w:eastAsia="Calibri" w:hAnsi="Calibri"/>
          <w:color w:val="4F81BD"/>
          <w:sz w:val="22"/>
          <w:szCs w:val="22"/>
          <w:lang w:val="en-US" w:eastAsia="en-US"/>
        </w:rPr>
        <w:fldChar w:fldCharType="separate"/>
      </w:r>
      <w:r w:rsidR="005E5A28">
        <w:rPr>
          <w:rFonts w:ascii="Calibri" w:eastAsia="Calibri" w:hAnsi="Calibri"/>
          <w:noProof/>
          <w:color w:val="4F81BD"/>
          <w:sz w:val="22"/>
          <w:szCs w:val="22"/>
          <w:lang w:val="en-US" w:eastAsia="en-US"/>
        </w:rPr>
        <w:t>4</w:t>
      </w:r>
      <w:r w:rsidR="00DD7CFF" w:rsidRPr="008055A2">
        <w:rPr>
          <w:rFonts w:ascii="Calibri" w:eastAsia="Calibri" w:hAnsi="Calibri"/>
          <w:color w:val="4F81BD"/>
          <w:sz w:val="22"/>
          <w:szCs w:val="22"/>
          <w:lang w:val="en-US" w:eastAsia="en-US"/>
        </w:rPr>
        <w:fldChar w:fldCharType="end"/>
      </w:r>
    </w:p>
    <w:p w:rsidR="00D64900" w:rsidRPr="0088722D" w:rsidRDefault="00786AEB" w:rsidP="003A6A39">
      <w:pPr>
        <w:spacing w:line="276" w:lineRule="auto"/>
        <w:rPr>
          <w:rFonts w:ascii="Calibri" w:eastAsia="Calibri" w:hAnsi="Calibri"/>
          <w:bCs/>
          <w:sz w:val="22"/>
          <w:szCs w:val="20"/>
          <w:lang w:val="en-US" w:eastAsia="en-US"/>
        </w:rPr>
      </w:pPr>
      <w:r>
        <w:rPr>
          <w:rFonts w:eastAsia="Calibri"/>
          <w:noProof/>
          <w:szCs w:val="20"/>
          <w:lang w:val="es-PE" w:eastAsia="es-PE"/>
        </w:rPr>
        <w:drawing>
          <wp:inline distT="0" distB="0" distL="0" distR="0">
            <wp:extent cx="5400040" cy="200152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400040" cy="2001520"/>
                    </a:xfrm>
                    <a:prstGeom prst="rect">
                      <a:avLst/>
                    </a:prstGeom>
                    <a:noFill/>
                    <a:ln w="9525">
                      <a:noFill/>
                      <a:miter lim="800000"/>
                      <a:headEnd/>
                      <a:tailEnd/>
                    </a:ln>
                  </pic:spPr>
                </pic:pic>
              </a:graphicData>
            </a:graphic>
          </wp:inline>
        </w:drawing>
      </w:r>
    </w:p>
    <w:p w:rsidR="00093AF7" w:rsidRPr="003A6A39" w:rsidRDefault="00093AF7" w:rsidP="003A6A39">
      <w:pPr>
        <w:spacing w:line="276" w:lineRule="auto"/>
        <w:jc w:val="both"/>
        <w:rPr>
          <w:rFonts w:ascii="Calibri" w:eastAsia="Calibri" w:hAnsi="Calibri"/>
          <w:bCs/>
          <w:sz w:val="16"/>
          <w:szCs w:val="16"/>
          <w:lang w:val="en-US" w:eastAsia="en-US"/>
        </w:rPr>
      </w:pPr>
      <w:r w:rsidRPr="003A6A39">
        <w:rPr>
          <w:rFonts w:ascii="Calibri" w:eastAsia="Calibri" w:hAnsi="Calibri"/>
          <w:bCs/>
          <w:sz w:val="16"/>
          <w:szCs w:val="16"/>
          <w:lang w:val="en-US" w:eastAsia="en-US"/>
        </w:rPr>
        <w:t xml:space="preserve">Source: MEF – Transparencia Económica </w:t>
      </w:r>
    </w:p>
    <w:p w:rsidR="00EE674C" w:rsidRPr="0088722D" w:rsidRDefault="00EE674C" w:rsidP="003A6A39">
      <w:pPr>
        <w:spacing w:line="276" w:lineRule="auto"/>
        <w:rPr>
          <w:rFonts w:ascii="Calibri" w:eastAsia="Calibri" w:hAnsi="Calibri"/>
          <w:bCs/>
          <w:sz w:val="22"/>
          <w:szCs w:val="20"/>
          <w:lang w:val="en-US" w:eastAsia="en-US"/>
        </w:rPr>
      </w:pPr>
    </w:p>
    <w:p w:rsidR="00676EEC" w:rsidRDefault="00676EEC" w:rsidP="003A6A39">
      <w:pPr>
        <w:tabs>
          <w:tab w:val="left" w:pos="440"/>
        </w:tabs>
        <w:spacing w:line="276" w:lineRule="auto"/>
        <w:jc w:val="both"/>
        <w:rPr>
          <w:rFonts w:ascii="Calibri" w:eastAsia="Calibri" w:hAnsi="Calibri"/>
          <w:bCs/>
          <w:sz w:val="22"/>
          <w:szCs w:val="20"/>
          <w:lang w:val="en-US" w:eastAsia="en-US"/>
        </w:rPr>
      </w:pPr>
    </w:p>
    <w:p w:rsidR="00874941" w:rsidRDefault="00694FD6" w:rsidP="003A6A39">
      <w:pPr>
        <w:tabs>
          <w:tab w:val="left" w:pos="440"/>
        </w:tabs>
        <w:spacing w:line="276" w:lineRule="auto"/>
        <w:jc w:val="both"/>
        <w:rPr>
          <w:rFonts w:ascii="Calibri" w:eastAsia="Calibri" w:hAnsi="Calibri"/>
          <w:bCs/>
          <w:color w:val="FF0000"/>
          <w:sz w:val="22"/>
          <w:szCs w:val="20"/>
          <w:lang w:val="en-US" w:eastAsia="en-US"/>
        </w:rPr>
      </w:pPr>
      <w:r w:rsidRPr="0088722D">
        <w:rPr>
          <w:rFonts w:ascii="Calibri" w:eastAsia="Calibri" w:hAnsi="Calibri"/>
          <w:bCs/>
          <w:sz w:val="22"/>
          <w:szCs w:val="20"/>
          <w:lang w:val="en-US" w:eastAsia="en-US"/>
        </w:rPr>
        <w:t xml:space="preserve">Another important aspect is that </w:t>
      </w:r>
      <w:r w:rsidR="00697314">
        <w:rPr>
          <w:rFonts w:ascii="Calibri" w:eastAsia="Calibri" w:hAnsi="Calibri"/>
          <w:bCs/>
          <w:sz w:val="22"/>
          <w:szCs w:val="20"/>
          <w:lang w:val="en-US" w:eastAsia="en-US"/>
        </w:rPr>
        <w:t>the Donors and Transfers item</w:t>
      </w:r>
      <w:r w:rsidR="003F1245">
        <w:rPr>
          <w:rFonts w:ascii="Calibri" w:eastAsia="Calibri" w:hAnsi="Calibri"/>
          <w:bCs/>
          <w:sz w:val="22"/>
          <w:szCs w:val="20"/>
          <w:lang w:val="en-US" w:eastAsia="en-US"/>
        </w:rPr>
        <w:t xml:space="preserve"> has increased its participation on total </w:t>
      </w:r>
      <w:r w:rsidR="003F1245" w:rsidRPr="00CB1412">
        <w:rPr>
          <w:rFonts w:ascii="Calibri" w:eastAsia="Calibri" w:hAnsi="Calibri"/>
          <w:bCs/>
          <w:sz w:val="22"/>
          <w:szCs w:val="20"/>
          <w:lang w:val="en-US" w:eastAsia="en-US"/>
        </w:rPr>
        <w:t>spending</w:t>
      </w:r>
      <w:r w:rsidRPr="00CB1412">
        <w:rPr>
          <w:rFonts w:ascii="Calibri" w:eastAsia="Calibri" w:hAnsi="Calibri"/>
          <w:bCs/>
          <w:sz w:val="22"/>
          <w:szCs w:val="20"/>
          <w:lang w:val="en-US" w:eastAsia="en-US"/>
        </w:rPr>
        <w:t>. However, these accounts refer mostly to transferences between higher government instances to lower ones.</w:t>
      </w:r>
      <w:r w:rsidR="00874941" w:rsidRPr="00CB1412">
        <w:rPr>
          <w:rFonts w:ascii="Calibri" w:eastAsia="Calibri" w:hAnsi="Calibri"/>
          <w:bCs/>
          <w:sz w:val="22"/>
          <w:szCs w:val="20"/>
          <w:lang w:val="en-US" w:eastAsia="en-US"/>
        </w:rPr>
        <w:t xml:space="preserve"> The data set does not let it split in two different budget items, but it is estimated that Donors represents less than 5% of this account.</w:t>
      </w:r>
      <w:r w:rsidR="002C30B5" w:rsidRPr="00CB1412">
        <w:rPr>
          <w:rFonts w:ascii="Calibri" w:eastAsia="Calibri" w:hAnsi="Calibri"/>
          <w:bCs/>
          <w:sz w:val="22"/>
          <w:szCs w:val="20"/>
          <w:lang w:val="en-US" w:eastAsia="en-US"/>
        </w:rPr>
        <w:t xml:space="preserve"> </w:t>
      </w:r>
      <w:r w:rsidR="00874941" w:rsidRPr="00CB1412">
        <w:rPr>
          <w:rFonts w:ascii="Calibri" w:eastAsia="Calibri" w:hAnsi="Calibri"/>
          <w:bCs/>
          <w:sz w:val="22"/>
          <w:szCs w:val="20"/>
          <w:lang w:val="en-US" w:eastAsia="en-US"/>
        </w:rPr>
        <w:t xml:space="preserve">Thus, </w:t>
      </w:r>
      <w:r w:rsidR="00112AAE" w:rsidRPr="00CB1412">
        <w:rPr>
          <w:rFonts w:ascii="Calibri" w:eastAsia="Calibri" w:hAnsi="Calibri"/>
          <w:bCs/>
          <w:sz w:val="22"/>
          <w:szCs w:val="20"/>
          <w:lang w:val="en-US" w:eastAsia="en-US"/>
        </w:rPr>
        <w:t>the increased in the participa</w:t>
      </w:r>
      <w:r w:rsidR="00563547" w:rsidRPr="00CB1412">
        <w:rPr>
          <w:rFonts w:ascii="Calibri" w:eastAsia="Calibri" w:hAnsi="Calibri"/>
          <w:bCs/>
          <w:sz w:val="22"/>
          <w:szCs w:val="20"/>
          <w:lang w:val="en-US" w:eastAsia="en-US"/>
        </w:rPr>
        <w:t>tion of this item is mainly due to</w:t>
      </w:r>
      <w:r w:rsidR="00CB1412" w:rsidRPr="00CB1412">
        <w:rPr>
          <w:rFonts w:ascii="Calibri" w:eastAsia="Calibri" w:hAnsi="Calibri"/>
          <w:bCs/>
          <w:sz w:val="22"/>
          <w:szCs w:val="20"/>
          <w:lang w:val="en-US" w:eastAsia="en-US"/>
        </w:rPr>
        <w:t xml:space="preserve"> the decentralization process, in which some funding sources have progressively been transferred.</w:t>
      </w:r>
    </w:p>
    <w:p w:rsidR="00CB1412" w:rsidRDefault="00CB1412" w:rsidP="003A6A39">
      <w:pPr>
        <w:tabs>
          <w:tab w:val="left" w:pos="440"/>
        </w:tabs>
        <w:spacing w:line="276" w:lineRule="auto"/>
        <w:jc w:val="both"/>
        <w:rPr>
          <w:rFonts w:ascii="Calibri" w:eastAsia="Calibri" w:hAnsi="Calibri"/>
          <w:bCs/>
          <w:color w:val="FF0000"/>
          <w:sz w:val="22"/>
          <w:szCs w:val="20"/>
          <w:lang w:val="en-US" w:eastAsia="en-US"/>
        </w:rPr>
      </w:pPr>
    </w:p>
    <w:p w:rsidR="00694FD6" w:rsidRPr="0088722D" w:rsidRDefault="00694FD6"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Table </w:t>
      </w:r>
      <w:r w:rsidR="002C30B5">
        <w:rPr>
          <w:rFonts w:ascii="Calibri" w:eastAsia="Calibri" w:hAnsi="Calibri"/>
          <w:bCs/>
          <w:sz w:val="22"/>
          <w:szCs w:val="20"/>
          <w:lang w:val="en-US" w:eastAsia="en-US"/>
        </w:rPr>
        <w:t>5</w:t>
      </w:r>
      <w:r w:rsidRPr="0088722D">
        <w:rPr>
          <w:rFonts w:ascii="Calibri" w:eastAsia="Calibri" w:hAnsi="Calibri"/>
          <w:bCs/>
          <w:sz w:val="22"/>
          <w:szCs w:val="20"/>
          <w:lang w:val="en-US" w:eastAsia="en-US"/>
        </w:rPr>
        <w:t xml:space="preserve"> gives a general perspective of the sector for the year 2008. It represents less than 1% of the total GDP and its mayor source of funding is the national gover</w:t>
      </w:r>
      <w:r w:rsidR="00944E42" w:rsidRPr="0088722D">
        <w:rPr>
          <w:rFonts w:ascii="Calibri" w:eastAsia="Calibri" w:hAnsi="Calibri"/>
          <w:bCs/>
          <w:sz w:val="22"/>
          <w:szCs w:val="20"/>
          <w:lang w:val="en-US" w:eastAsia="en-US"/>
        </w:rPr>
        <w:t>n</w:t>
      </w:r>
      <w:r w:rsidRPr="0088722D">
        <w:rPr>
          <w:rFonts w:ascii="Calibri" w:eastAsia="Calibri" w:hAnsi="Calibri"/>
          <w:bCs/>
          <w:sz w:val="22"/>
          <w:szCs w:val="20"/>
          <w:lang w:val="en-US" w:eastAsia="en-US"/>
        </w:rPr>
        <w:t>ment</w:t>
      </w:r>
      <w:r w:rsidR="00A84DAF" w:rsidRPr="0088722D">
        <w:rPr>
          <w:rFonts w:ascii="Calibri" w:eastAsia="Calibri" w:hAnsi="Calibri"/>
          <w:bCs/>
          <w:sz w:val="22"/>
          <w:szCs w:val="20"/>
          <w:lang w:val="en-US" w:eastAsia="en-US"/>
        </w:rPr>
        <w:t xml:space="preserve"> (</w:t>
      </w:r>
      <w:r w:rsidR="009E211C">
        <w:rPr>
          <w:rFonts w:ascii="Calibri" w:eastAsia="Calibri" w:hAnsi="Calibri"/>
          <w:bCs/>
          <w:sz w:val="22"/>
          <w:szCs w:val="20"/>
          <w:lang w:val="en-US" w:eastAsia="en-US"/>
        </w:rPr>
        <w:t xml:space="preserve">as it has been already mentioned, </w:t>
      </w:r>
      <w:r w:rsidR="00A84DAF" w:rsidRPr="0088722D">
        <w:rPr>
          <w:rFonts w:ascii="Calibri" w:eastAsia="Calibri" w:hAnsi="Calibri"/>
          <w:bCs/>
          <w:sz w:val="22"/>
          <w:szCs w:val="20"/>
          <w:lang w:val="en-US" w:eastAsia="en-US"/>
        </w:rPr>
        <w:t xml:space="preserve">the donor </w:t>
      </w:r>
      <w:r w:rsidR="00277159">
        <w:rPr>
          <w:rFonts w:ascii="Calibri" w:eastAsia="Calibri" w:hAnsi="Calibri"/>
          <w:bCs/>
          <w:sz w:val="22"/>
          <w:szCs w:val="20"/>
          <w:lang w:val="en-US" w:eastAsia="en-US"/>
        </w:rPr>
        <w:t xml:space="preserve">and transfers </w:t>
      </w:r>
      <w:r w:rsidR="00A84DAF" w:rsidRPr="0088722D">
        <w:rPr>
          <w:rFonts w:ascii="Calibri" w:eastAsia="Calibri" w:hAnsi="Calibri"/>
          <w:bCs/>
          <w:sz w:val="22"/>
          <w:szCs w:val="20"/>
          <w:lang w:val="en-US" w:eastAsia="en-US"/>
        </w:rPr>
        <w:t>account includes transfers from this level to the others)</w:t>
      </w:r>
      <w:r w:rsidRPr="0088722D">
        <w:rPr>
          <w:rFonts w:ascii="Calibri" w:eastAsia="Calibri" w:hAnsi="Calibri"/>
          <w:bCs/>
          <w:sz w:val="22"/>
          <w:szCs w:val="20"/>
          <w:lang w:val="en-US" w:eastAsia="en-US"/>
        </w:rPr>
        <w:t xml:space="preserve">. </w:t>
      </w:r>
      <w:r w:rsidR="00944E42" w:rsidRPr="0088722D">
        <w:rPr>
          <w:rFonts w:ascii="Calibri" w:eastAsia="Calibri" w:hAnsi="Calibri"/>
          <w:bCs/>
          <w:sz w:val="22"/>
          <w:szCs w:val="20"/>
          <w:lang w:val="en-US" w:eastAsia="en-US"/>
        </w:rPr>
        <w:t>This includes several programs of national scope which are implemented by the executive power through the MVCS.</w:t>
      </w:r>
    </w:p>
    <w:p w:rsidR="00944E42" w:rsidRPr="0088722D" w:rsidRDefault="00944E42" w:rsidP="001E3596">
      <w:pPr>
        <w:tabs>
          <w:tab w:val="left" w:pos="440"/>
          <w:tab w:val="left" w:pos="1843"/>
        </w:tabs>
        <w:spacing w:line="276" w:lineRule="auto"/>
        <w:jc w:val="both"/>
        <w:rPr>
          <w:rFonts w:ascii="Calibri" w:eastAsia="Calibri" w:hAnsi="Calibri"/>
          <w:bCs/>
          <w:sz w:val="22"/>
          <w:szCs w:val="20"/>
          <w:lang w:val="en-US" w:eastAsia="en-US"/>
        </w:rPr>
      </w:pPr>
    </w:p>
    <w:p w:rsidR="00A95718" w:rsidRPr="0088722D" w:rsidRDefault="00944E42"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Also important is the local or district level. This is due to the fact that this is the level of government in direct charge of supervising </w:t>
      </w:r>
      <w:r w:rsidR="00A95718" w:rsidRPr="0088722D">
        <w:rPr>
          <w:rFonts w:ascii="Calibri" w:eastAsia="Calibri" w:hAnsi="Calibri"/>
          <w:bCs/>
          <w:sz w:val="22"/>
          <w:szCs w:val="20"/>
          <w:lang w:val="en-US" w:eastAsia="en-US"/>
        </w:rPr>
        <w:t xml:space="preserve">the EPS </w:t>
      </w:r>
      <w:r w:rsidR="002223B1" w:rsidRPr="0088722D">
        <w:rPr>
          <w:rFonts w:ascii="Calibri" w:eastAsia="Calibri" w:hAnsi="Calibri"/>
          <w:bCs/>
          <w:sz w:val="22"/>
          <w:szCs w:val="20"/>
          <w:lang w:val="en-US" w:eastAsia="en-US"/>
        </w:rPr>
        <w:t>an</w:t>
      </w:r>
      <w:r w:rsidR="00A95718" w:rsidRPr="0088722D">
        <w:rPr>
          <w:rFonts w:ascii="Calibri" w:eastAsia="Calibri" w:hAnsi="Calibri"/>
          <w:bCs/>
          <w:sz w:val="22"/>
          <w:szCs w:val="20"/>
          <w:lang w:val="en-US" w:eastAsia="en-US"/>
        </w:rPr>
        <w:t>d</w:t>
      </w:r>
      <w:r w:rsidR="002223B1" w:rsidRPr="0088722D">
        <w:rPr>
          <w:rFonts w:ascii="Calibri" w:eastAsia="Calibri" w:hAnsi="Calibri"/>
          <w:bCs/>
          <w:sz w:val="22"/>
          <w:szCs w:val="20"/>
          <w:lang w:val="en-US" w:eastAsia="en-US"/>
        </w:rPr>
        <w:t xml:space="preserve"> implementing </w:t>
      </w:r>
      <w:r w:rsidR="00A95718" w:rsidRPr="0088722D">
        <w:rPr>
          <w:rFonts w:ascii="Calibri" w:eastAsia="Calibri" w:hAnsi="Calibri"/>
          <w:bCs/>
          <w:sz w:val="22"/>
          <w:szCs w:val="20"/>
          <w:lang w:val="en-US" w:eastAsia="en-US"/>
        </w:rPr>
        <w:t>new projects.</w:t>
      </w:r>
      <w:r w:rsidR="002C30B5">
        <w:rPr>
          <w:rFonts w:ascii="Calibri" w:eastAsia="Calibri" w:hAnsi="Calibri"/>
          <w:bCs/>
          <w:sz w:val="22"/>
          <w:szCs w:val="20"/>
          <w:lang w:val="en-US" w:eastAsia="en-US"/>
        </w:rPr>
        <w:t xml:space="preserve"> </w:t>
      </w:r>
      <w:r w:rsidR="00A95718" w:rsidRPr="0088722D">
        <w:rPr>
          <w:rFonts w:ascii="Calibri" w:eastAsia="Calibri" w:hAnsi="Calibri"/>
          <w:bCs/>
          <w:sz w:val="22"/>
          <w:szCs w:val="20"/>
          <w:lang w:val="en-US" w:eastAsia="en-US"/>
        </w:rPr>
        <w:t xml:space="preserve">The </w:t>
      </w:r>
      <w:r w:rsidR="009008C2" w:rsidRPr="0088722D">
        <w:rPr>
          <w:rFonts w:ascii="Calibri" w:eastAsia="Calibri" w:hAnsi="Calibri"/>
          <w:bCs/>
          <w:sz w:val="22"/>
          <w:szCs w:val="20"/>
          <w:lang w:val="en-US" w:eastAsia="en-US"/>
        </w:rPr>
        <w:t>payment</w:t>
      </w:r>
      <w:r w:rsidR="009008C2">
        <w:rPr>
          <w:rFonts w:ascii="Calibri" w:eastAsia="Calibri" w:hAnsi="Calibri"/>
          <w:bCs/>
          <w:sz w:val="22"/>
          <w:szCs w:val="20"/>
          <w:lang w:val="en-US" w:eastAsia="en-US"/>
        </w:rPr>
        <w:t>s</w:t>
      </w:r>
      <w:r w:rsidR="009008C2" w:rsidRPr="0088722D">
        <w:rPr>
          <w:rFonts w:ascii="Calibri" w:eastAsia="Calibri" w:hAnsi="Calibri"/>
          <w:bCs/>
          <w:sz w:val="22"/>
          <w:szCs w:val="20"/>
          <w:lang w:val="en-US" w:eastAsia="en-US"/>
        </w:rPr>
        <w:t xml:space="preserve"> done by </w:t>
      </w:r>
      <w:r w:rsidR="009008C2">
        <w:rPr>
          <w:rFonts w:ascii="Calibri" w:eastAsia="Calibri" w:hAnsi="Calibri"/>
          <w:bCs/>
          <w:sz w:val="22"/>
          <w:szCs w:val="20"/>
          <w:lang w:val="en-US" w:eastAsia="en-US"/>
        </w:rPr>
        <w:t>h</w:t>
      </w:r>
      <w:r w:rsidR="009008C2" w:rsidRPr="0088722D">
        <w:rPr>
          <w:rFonts w:ascii="Calibri" w:eastAsia="Calibri" w:hAnsi="Calibri"/>
          <w:bCs/>
          <w:sz w:val="22"/>
          <w:szCs w:val="20"/>
          <w:lang w:val="en-US" w:eastAsia="en-US"/>
        </w:rPr>
        <w:t>ouseholds allow</w:t>
      </w:r>
      <w:r w:rsidR="00A95718" w:rsidRPr="0088722D">
        <w:rPr>
          <w:rFonts w:ascii="Calibri" w:eastAsia="Calibri" w:hAnsi="Calibri"/>
          <w:bCs/>
          <w:sz w:val="22"/>
          <w:szCs w:val="20"/>
          <w:lang w:val="en-US" w:eastAsia="en-US"/>
        </w:rPr>
        <w:t xml:space="preserve"> the EPS to be self sustainable. This means that the government does not need to subsidize their operations. In order for the system </w:t>
      </w:r>
      <w:r w:rsidR="00A84DAF" w:rsidRPr="0088722D">
        <w:rPr>
          <w:rFonts w:ascii="Calibri" w:eastAsia="Calibri" w:hAnsi="Calibri"/>
          <w:bCs/>
          <w:sz w:val="22"/>
          <w:szCs w:val="20"/>
          <w:lang w:val="en-US" w:eastAsia="en-US"/>
        </w:rPr>
        <w:t xml:space="preserve">to work, each EPS determines its tariffs in blocks according to consumption and if the user is industrial, a state dependency or a house. This allows for cross </w:t>
      </w:r>
      <w:r w:rsidR="009008C2" w:rsidRPr="0088722D">
        <w:rPr>
          <w:rFonts w:ascii="Calibri" w:eastAsia="Calibri" w:hAnsi="Calibri"/>
          <w:bCs/>
          <w:sz w:val="22"/>
          <w:szCs w:val="20"/>
          <w:lang w:val="en-US" w:eastAsia="en-US"/>
        </w:rPr>
        <w:t>subsidize</w:t>
      </w:r>
      <w:r w:rsidR="00A84DAF" w:rsidRPr="0088722D">
        <w:rPr>
          <w:rFonts w:ascii="Calibri" w:eastAsia="Calibri" w:hAnsi="Calibri"/>
          <w:bCs/>
          <w:sz w:val="22"/>
          <w:szCs w:val="20"/>
          <w:lang w:val="en-US" w:eastAsia="en-US"/>
        </w:rPr>
        <w:t xml:space="preserve"> and to recover the costs.</w:t>
      </w:r>
    </w:p>
    <w:p w:rsidR="00676EEC" w:rsidRDefault="00A95718" w:rsidP="002C30B5">
      <w:pPr>
        <w:pStyle w:val="Epgrafe"/>
        <w:jc w:val="center"/>
        <w:rPr>
          <w:rFonts w:ascii="Calibri" w:eastAsia="Calibri" w:hAnsi="Calibri"/>
          <w:color w:val="4F81BD"/>
          <w:sz w:val="22"/>
          <w:szCs w:val="22"/>
          <w:lang w:val="en-US" w:eastAsia="en-US"/>
        </w:rPr>
      </w:pPr>
      <w:r w:rsidRPr="002C30B5">
        <w:rPr>
          <w:rFonts w:ascii="Calibri" w:eastAsia="Calibri" w:hAnsi="Calibri"/>
          <w:color w:val="4F81BD"/>
          <w:sz w:val="22"/>
          <w:szCs w:val="22"/>
          <w:lang w:val="en-US" w:eastAsia="en-US"/>
        </w:rPr>
        <w:tab/>
      </w:r>
    </w:p>
    <w:p w:rsidR="00EE674C" w:rsidRPr="00676EEC" w:rsidRDefault="00676EEC" w:rsidP="00676EEC">
      <w:pPr>
        <w:pStyle w:val="Epgrafe"/>
        <w:jc w:val="center"/>
        <w:rPr>
          <w:rFonts w:ascii="Calibri" w:eastAsia="Calibri" w:hAnsi="Calibri"/>
          <w:color w:val="4F81BD"/>
          <w:sz w:val="22"/>
          <w:szCs w:val="22"/>
          <w:lang w:val="en-US" w:eastAsia="en-US"/>
        </w:rPr>
      </w:pPr>
      <w:r>
        <w:rPr>
          <w:rFonts w:eastAsia="Calibri"/>
          <w:lang w:val="en-US" w:eastAsia="en-US"/>
        </w:rPr>
        <w:br w:type="page"/>
      </w:r>
      <w:r w:rsidR="00392861" w:rsidRPr="00676EEC">
        <w:rPr>
          <w:rFonts w:ascii="Calibri" w:eastAsia="Calibri" w:hAnsi="Calibri"/>
          <w:color w:val="4F81BD"/>
          <w:sz w:val="22"/>
          <w:szCs w:val="22"/>
          <w:lang w:val="en-US" w:eastAsia="en-US"/>
        </w:rPr>
        <w:lastRenderedPageBreak/>
        <w:t>Table 5</w:t>
      </w:r>
    </w:p>
    <w:p w:rsidR="00D64900" w:rsidRPr="0088722D" w:rsidRDefault="00786AEB" w:rsidP="008451F8">
      <w:pPr>
        <w:spacing w:line="276" w:lineRule="auto"/>
        <w:jc w:val="center"/>
        <w:rPr>
          <w:rFonts w:ascii="Calibri" w:eastAsia="Calibri" w:hAnsi="Calibri"/>
          <w:bCs/>
          <w:sz w:val="22"/>
          <w:szCs w:val="20"/>
          <w:lang w:val="en-US" w:eastAsia="en-US"/>
        </w:rPr>
      </w:pPr>
      <w:r>
        <w:rPr>
          <w:rFonts w:eastAsia="Calibri"/>
          <w:noProof/>
          <w:szCs w:val="20"/>
          <w:lang w:val="es-PE" w:eastAsia="es-PE"/>
        </w:rPr>
        <w:drawing>
          <wp:inline distT="0" distB="0" distL="0" distR="0">
            <wp:extent cx="4554855" cy="21050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554855" cy="2105025"/>
                    </a:xfrm>
                    <a:prstGeom prst="rect">
                      <a:avLst/>
                    </a:prstGeom>
                    <a:noFill/>
                    <a:ln w="9525">
                      <a:noFill/>
                      <a:miter lim="800000"/>
                      <a:headEnd/>
                      <a:tailEnd/>
                    </a:ln>
                  </pic:spPr>
                </pic:pic>
              </a:graphicData>
            </a:graphic>
          </wp:inline>
        </w:drawing>
      </w:r>
    </w:p>
    <w:p w:rsidR="00093AF7" w:rsidRPr="00392861" w:rsidRDefault="00093AF7" w:rsidP="008451F8">
      <w:pPr>
        <w:spacing w:line="276" w:lineRule="auto"/>
        <w:ind w:firstLine="708"/>
        <w:jc w:val="both"/>
        <w:rPr>
          <w:rFonts w:ascii="Calibri" w:eastAsia="Calibri" w:hAnsi="Calibri"/>
          <w:bCs/>
          <w:sz w:val="16"/>
          <w:szCs w:val="16"/>
          <w:lang w:val="en-US" w:eastAsia="en-US"/>
        </w:rPr>
      </w:pPr>
      <w:r w:rsidRPr="00392861">
        <w:rPr>
          <w:rFonts w:ascii="Calibri" w:eastAsia="Calibri" w:hAnsi="Calibri"/>
          <w:bCs/>
          <w:sz w:val="16"/>
          <w:szCs w:val="16"/>
          <w:lang w:val="en-US" w:eastAsia="en-US"/>
        </w:rPr>
        <w:t xml:space="preserve">Source: MEF – Transparencia Económica </w:t>
      </w:r>
    </w:p>
    <w:p w:rsidR="00676EEC" w:rsidRDefault="00676EEC" w:rsidP="003A6A39">
      <w:pPr>
        <w:tabs>
          <w:tab w:val="left" w:pos="440"/>
        </w:tabs>
        <w:spacing w:line="276" w:lineRule="auto"/>
        <w:jc w:val="both"/>
        <w:rPr>
          <w:rFonts w:ascii="Calibri" w:eastAsia="Calibri" w:hAnsi="Calibri"/>
          <w:bCs/>
          <w:sz w:val="22"/>
          <w:szCs w:val="20"/>
          <w:lang w:val="en-US" w:eastAsia="en-US"/>
        </w:rPr>
      </w:pPr>
    </w:p>
    <w:p w:rsidR="00724FFD" w:rsidRPr="0088722D" w:rsidRDefault="00956D79" w:rsidP="003A6A39">
      <w:pPr>
        <w:tabs>
          <w:tab w:val="left" w:pos="440"/>
        </w:tabs>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Regarding sanitation sector efficiency, o</w:t>
      </w:r>
      <w:r w:rsidR="0060342F" w:rsidRPr="0088722D">
        <w:rPr>
          <w:rFonts w:ascii="Calibri" w:eastAsia="Calibri" w:hAnsi="Calibri"/>
          <w:bCs/>
          <w:sz w:val="22"/>
          <w:szCs w:val="20"/>
          <w:lang w:val="en-US" w:eastAsia="en-US"/>
        </w:rPr>
        <w:t>ne of the main issues that the budgeting process must face is its ability to execute</w:t>
      </w:r>
      <w:r w:rsidR="00C622A1" w:rsidRPr="0088722D">
        <w:rPr>
          <w:rFonts w:ascii="Calibri" w:eastAsia="Calibri" w:hAnsi="Calibri"/>
          <w:bCs/>
          <w:sz w:val="22"/>
          <w:szCs w:val="20"/>
          <w:lang w:val="en-US" w:eastAsia="en-US"/>
        </w:rPr>
        <w:t xml:space="preserve"> the amounts established. However, in recent years, the sanitation sector has not been able to </w:t>
      </w:r>
      <w:r w:rsidR="00477CB2" w:rsidRPr="0088722D">
        <w:rPr>
          <w:rFonts w:ascii="Calibri" w:eastAsia="Calibri" w:hAnsi="Calibri"/>
          <w:bCs/>
          <w:sz w:val="22"/>
          <w:szCs w:val="20"/>
          <w:lang w:val="en-US" w:eastAsia="en-US"/>
        </w:rPr>
        <w:t xml:space="preserve">fully spend the resources destined to each year. </w:t>
      </w:r>
      <w:r w:rsidR="009008C2">
        <w:rPr>
          <w:rFonts w:ascii="Calibri" w:eastAsia="Calibri" w:hAnsi="Calibri"/>
          <w:bCs/>
          <w:sz w:val="22"/>
          <w:szCs w:val="20"/>
          <w:lang w:val="en-US" w:eastAsia="en-US"/>
        </w:rPr>
        <w:t xml:space="preserve">This is a common </w:t>
      </w:r>
      <w:r w:rsidR="008B511B">
        <w:rPr>
          <w:rFonts w:ascii="Calibri" w:eastAsia="Calibri" w:hAnsi="Calibri"/>
          <w:bCs/>
          <w:sz w:val="22"/>
          <w:szCs w:val="20"/>
          <w:lang w:val="en-US" w:eastAsia="en-US"/>
        </w:rPr>
        <w:t>fact</w:t>
      </w:r>
      <w:r w:rsidR="009008C2">
        <w:rPr>
          <w:rFonts w:ascii="Calibri" w:eastAsia="Calibri" w:hAnsi="Calibri"/>
          <w:bCs/>
          <w:sz w:val="22"/>
          <w:szCs w:val="20"/>
          <w:lang w:val="en-US" w:eastAsia="en-US"/>
        </w:rPr>
        <w:t xml:space="preserve"> around all budgetary units local, provincial and national</w:t>
      </w:r>
      <w:r w:rsidR="008B511B">
        <w:rPr>
          <w:rFonts w:ascii="Calibri" w:eastAsia="Calibri" w:hAnsi="Calibri"/>
          <w:bCs/>
          <w:sz w:val="22"/>
          <w:szCs w:val="20"/>
          <w:lang w:val="en-US" w:eastAsia="en-US"/>
        </w:rPr>
        <w:t xml:space="preserve"> in these years, which is partly explained by the sudden increase in budgets and rules that earmarked the use of funds only to investment. For example, in many cases the extra money could not be used for the studies required for new projects</w:t>
      </w:r>
      <w:r w:rsidR="009008C2">
        <w:rPr>
          <w:rFonts w:ascii="Calibri" w:eastAsia="Calibri" w:hAnsi="Calibri"/>
          <w:bCs/>
          <w:sz w:val="22"/>
          <w:szCs w:val="20"/>
          <w:lang w:val="en-US" w:eastAsia="en-US"/>
        </w:rPr>
        <w:t xml:space="preserve">. </w:t>
      </w:r>
      <w:r w:rsidR="00477CB2" w:rsidRPr="0088722D">
        <w:rPr>
          <w:rFonts w:ascii="Calibri" w:eastAsia="Calibri" w:hAnsi="Calibri"/>
          <w:bCs/>
          <w:sz w:val="22"/>
          <w:szCs w:val="20"/>
          <w:lang w:val="en-US" w:eastAsia="en-US"/>
        </w:rPr>
        <w:t xml:space="preserve">As Figure </w:t>
      </w:r>
      <w:r w:rsidR="004C607C">
        <w:rPr>
          <w:rFonts w:ascii="Calibri" w:eastAsia="Calibri" w:hAnsi="Calibri"/>
          <w:bCs/>
          <w:sz w:val="22"/>
          <w:szCs w:val="20"/>
          <w:lang w:val="en-US" w:eastAsia="en-US"/>
        </w:rPr>
        <w:t>8</w:t>
      </w:r>
      <w:r w:rsidR="00477CB2" w:rsidRPr="0088722D">
        <w:rPr>
          <w:rFonts w:ascii="Calibri" w:eastAsia="Calibri" w:hAnsi="Calibri"/>
          <w:bCs/>
          <w:sz w:val="22"/>
          <w:szCs w:val="20"/>
          <w:lang w:val="en-US" w:eastAsia="en-US"/>
        </w:rPr>
        <w:t xml:space="preserve"> shows, most </w:t>
      </w:r>
      <w:r w:rsidR="002E3074" w:rsidRPr="0088722D">
        <w:rPr>
          <w:rFonts w:ascii="Calibri" w:eastAsia="Calibri" w:hAnsi="Calibri"/>
          <w:bCs/>
          <w:sz w:val="22"/>
          <w:szCs w:val="20"/>
          <w:lang w:val="en-US" w:eastAsia="en-US"/>
        </w:rPr>
        <w:t xml:space="preserve">years analyzed show that an important part of the budged was not actually spent (the year 2009 is until the month of October). </w:t>
      </w:r>
    </w:p>
    <w:p w:rsidR="002E3074" w:rsidRPr="0088722D" w:rsidRDefault="00C622A1"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 </w:t>
      </w:r>
      <w:r w:rsidR="0060342F" w:rsidRPr="0088722D">
        <w:rPr>
          <w:rFonts w:ascii="Calibri" w:eastAsia="Calibri" w:hAnsi="Calibri"/>
          <w:bCs/>
          <w:sz w:val="22"/>
          <w:szCs w:val="20"/>
          <w:lang w:val="en-US" w:eastAsia="en-US"/>
        </w:rPr>
        <w:t xml:space="preserve"> </w:t>
      </w:r>
    </w:p>
    <w:p w:rsidR="00D32048" w:rsidRPr="00956D79" w:rsidRDefault="00D32048" w:rsidP="005937AA">
      <w:pPr>
        <w:pStyle w:val="Epgrafe"/>
        <w:jc w:val="center"/>
        <w:rPr>
          <w:rFonts w:ascii="Calibri" w:eastAsia="Calibri" w:hAnsi="Calibri"/>
          <w:color w:val="4F81BD"/>
          <w:sz w:val="22"/>
          <w:szCs w:val="22"/>
          <w:lang w:val="en-US" w:eastAsia="en-US"/>
        </w:rPr>
      </w:pPr>
      <w:r w:rsidRPr="00956D79">
        <w:rPr>
          <w:rFonts w:ascii="Calibri" w:eastAsia="Calibri" w:hAnsi="Calibri"/>
          <w:color w:val="4F81BD"/>
          <w:sz w:val="22"/>
          <w:szCs w:val="22"/>
          <w:lang w:val="en-US" w:eastAsia="en-US"/>
        </w:rPr>
        <w:t>Figure</w:t>
      </w:r>
      <w:r w:rsidR="00E50451" w:rsidRPr="00956D79">
        <w:rPr>
          <w:rFonts w:ascii="Calibri" w:eastAsia="Calibri" w:hAnsi="Calibri"/>
          <w:color w:val="4F81BD"/>
          <w:sz w:val="22"/>
          <w:szCs w:val="22"/>
          <w:lang w:val="en-US" w:eastAsia="en-US"/>
        </w:rPr>
        <w:t xml:space="preserve"> </w:t>
      </w:r>
      <w:r w:rsidR="004C607C">
        <w:rPr>
          <w:rFonts w:ascii="Calibri" w:eastAsia="Calibri" w:hAnsi="Calibri"/>
          <w:color w:val="4F81BD"/>
          <w:sz w:val="22"/>
          <w:szCs w:val="22"/>
          <w:lang w:val="en-US" w:eastAsia="en-US"/>
        </w:rPr>
        <w:t>8</w:t>
      </w:r>
      <w:r w:rsidRPr="00956D79">
        <w:rPr>
          <w:rFonts w:ascii="Calibri" w:eastAsia="Calibri" w:hAnsi="Calibri"/>
          <w:color w:val="4F81BD"/>
          <w:sz w:val="22"/>
          <w:szCs w:val="22"/>
          <w:lang w:val="en-US" w:eastAsia="en-US"/>
        </w:rPr>
        <w:t>: Budget Execution</w:t>
      </w:r>
    </w:p>
    <w:p w:rsidR="00D32048" w:rsidRPr="0088722D" w:rsidRDefault="00786AEB" w:rsidP="003A6A39">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407410" cy="21653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3407410" cy="2165350"/>
                    </a:xfrm>
                    <a:prstGeom prst="rect">
                      <a:avLst/>
                    </a:prstGeom>
                    <a:noFill/>
                    <a:ln w="9525">
                      <a:noFill/>
                      <a:miter lim="800000"/>
                      <a:headEnd/>
                      <a:tailEnd/>
                    </a:ln>
                  </pic:spPr>
                </pic:pic>
              </a:graphicData>
            </a:graphic>
          </wp:inline>
        </w:drawing>
      </w:r>
    </w:p>
    <w:p w:rsidR="00093AF7" w:rsidRPr="005937AA" w:rsidRDefault="00093AF7" w:rsidP="003A6A39">
      <w:pPr>
        <w:spacing w:line="276" w:lineRule="auto"/>
        <w:ind w:left="708"/>
        <w:jc w:val="both"/>
        <w:rPr>
          <w:rFonts w:ascii="Calibri" w:eastAsia="Calibri" w:hAnsi="Calibri"/>
          <w:bCs/>
          <w:sz w:val="16"/>
          <w:szCs w:val="16"/>
          <w:lang w:val="en-US" w:eastAsia="en-US"/>
        </w:rPr>
      </w:pPr>
      <w:r w:rsidRPr="005937AA">
        <w:rPr>
          <w:rFonts w:ascii="Calibri" w:eastAsia="Calibri" w:hAnsi="Calibri"/>
          <w:bCs/>
          <w:sz w:val="16"/>
          <w:szCs w:val="16"/>
          <w:lang w:val="en-US" w:eastAsia="en-US"/>
        </w:rPr>
        <w:t xml:space="preserve">       Source: MEF – Transparencia Económica </w:t>
      </w:r>
    </w:p>
    <w:p w:rsidR="008451F8" w:rsidRDefault="008451F8" w:rsidP="003A6A39">
      <w:pPr>
        <w:tabs>
          <w:tab w:val="left" w:pos="440"/>
        </w:tabs>
        <w:spacing w:line="276" w:lineRule="auto"/>
        <w:jc w:val="both"/>
        <w:rPr>
          <w:rFonts w:ascii="Calibri" w:eastAsia="Calibri" w:hAnsi="Calibri"/>
          <w:bCs/>
          <w:sz w:val="22"/>
          <w:szCs w:val="20"/>
          <w:lang w:val="en-US" w:eastAsia="en-US"/>
        </w:rPr>
      </w:pPr>
    </w:p>
    <w:p w:rsidR="0028545D" w:rsidRPr="0088722D" w:rsidRDefault="0028545D"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In order to see why this is</w:t>
      </w:r>
      <w:r w:rsidR="008B511B">
        <w:rPr>
          <w:rFonts w:ascii="Calibri" w:eastAsia="Calibri" w:hAnsi="Calibri"/>
          <w:bCs/>
          <w:sz w:val="22"/>
          <w:szCs w:val="20"/>
          <w:lang w:val="en-US" w:eastAsia="en-US"/>
        </w:rPr>
        <w:t xml:space="preserve"> happening</w:t>
      </w:r>
      <w:r w:rsidRPr="0088722D">
        <w:rPr>
          <w:rFonts w:ascii="Calibri" w:eastAsia="Calibri" w:hAnsi="Calibri"/>
          <w:bCs/>
          <w:sz w:val="22"/>
          <w:szCs w:val="20"/>
          <w:lang w:val="en-US" w:eastAsia="en-US"/>
        </w:rPr>
        <w:t xml:space="preserve">, it is important to </w:t>
      </w:r>
      <w:r w:rsidR="008B511B">
        <w:rPr>
          <w:rFonts w:ascii="Calibri" w:eastAsia="Calibri" w:hAnsi="Calibri"/>
          <w:bCs/>
          <w:sz w:val="22"/>
          <w:szCs w:val="20"/>
          <w:lang w:val="en-US" w:eastAsia="en-US"/>
        </w:rPr>
        <w:t>consider</w:t>
      </w:r>
      <w:r w:rsidRPr="0088722D">
        <w:rPr>
          <w:rFonts w:ascii="Calibri" w:eastAsia="Calibri" w:hAnsi="Calibri"/>
          <w:bCs/>
          <w:sz w:val="22"/>
          <w:szCs w:val="20"/>
          <w:lang w:val="en-US" w:eastAsia="en-US"/>
        </w:rPr>
        <w:t xml:space="preserve"> the structure of the expenditures. Figure </w:t>
      </w:r>
      <w:r w:rsidR="004C607C">
        <w:rPr>
          <w:rFonts w:ascii="Calibri" w:eastAsia="Calibri" w:hAnsi="Calibri"/>
          <w:bCs/>
          <w:sz w:val="22"/>
          <w:szCs w:val="20"/>
          <w:lang w:val="en-US" w:eastAsia="en-US"/>
        </w:rPr>
        <w:t>9</w:t>
      </w:r>
      <w:r w:rsidRPr="0088722D">
        <w:rPr>
          <w:rFonts w:ascii="Calibri" w:eastAsia="Calibri" w:hAnsi="Calibri"/>
          <w:bCs/>
          <w:sz w:val="22"/>
          <w:szCs w:val="20"/>
          <w:lang w:val="en-US" w:eastAsia="en-US"/>
        </w:rPr>
        <w:t xml:space="preserve"> shows the</w:t>
      </w:r>
      <w:r w:rsidR="00EB26E8" w:rsidRPr="0088722D">
        <w:rPr>
          <w:rFonts w:ascii="Calibri" w:eastAsia="Calibri" w:hAnsi="Calibri"/>
          <w:bCs/>
          <w:sz w:val="22"/>
          <w:szCs w:val="20"/>
          <w:lang w:val="en-US" w:eastAsia="en-US"/>
        </w:rPr>
        <w:t xml:space="preserve"> composition for the year 2008, which is similar to previous years.</w:t>
      </w:r>
    </w:p>
    <w:p w:rsidR="0060342F" w:rsidRPr="0088722D" w:rsidRDefault="0060342F" w:rsidP="003A6A39">
      <w:pPr>
        <w:tabs>
          <w:tab w:val="left" w:pos="440"/>
        </w:tabs>
        <w:spacing w:line="276" w:lineRule="auto"/>
        <w:jc w:val="center"/>
        <w:rPr>
          <w:rFonts w:ascii="Calibri" w:eastAsia="Calibri" w:hAnsi="Calibri"/>
          <w:bCs/>
          <w:sz w:val="22"/>
          <w:szCs w:val="20"/>
          <w:lang w:val="en-US" w:eastAsia="en-US"/>
        </w:rPr>
      </w:pPr>
    </w:p>
    <w:p w:rsidR="00093AF7" w:rsidRPr="00032314" w:rsidRDefault="00676EEC" w:rsidP="005937AA">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093AF7" w:rsidRPr="00032314">
        <w:rPr>
          <w:rFonts w:ascii="Calibri" w:eastAsia="Calibri" w:hAnsi="Calibri"/>
          <w:color w:val="4F81BD"/>
          <w:sz w:val="22"/>
          <w:szCs w:val="22"/>
          <w:lang w:val="en-US" w:eastAsia="en-US"/>
        </w:rPr>
        <w:lastRenderedPageBreak/>
        <w:t xml:space="preserve">Figure </w:t>
      </w:r>
      <w:r w:rsidR="004C607C">
        <w:rPr>
          <w:rFonts w:ascii="Calibri" w:eastAsia="Calibri" w:hAnsi="Calibri"/>
          <w:color w:val="4F81BD"/>
          <w:sz w:val="22"/>
          <w:szCs w:val="22"/>
          <w:lang w:val="en-US" w:eastAsia="en-US"/>
        </w:rPr>
        <w:t>9</w:t>
      </w:r>
      <w:r w:rsidR="00093AF7" w:rsidRPr="00032314">
        <w:rPr>
          <w:rFonts w:ascii="Calibri" w:eastAsia="Calibri" w:hAnsi="Calibri"/>
          <w:color w:val="4F81BD"/>
          <w:sz w:val="22"/>
          <w:szCs w:val="22"/>
          <w:lang w:val="en-US" w:eastAsia="en-US"/>
        </w:rPr>
        <w:t>: Execution of the Main Items in the Budget - 2008</w:t>
      </w:r>
    </w:p>
    <w:p w:rsidR="00B95A4D" w:rsidRPr="0088722D" w:rsidRDefault="00786AEB" w:rsidP="003A6A39">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562985" cy="23380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3562985" cy="2338070"/>
                    </a:xfrm>
                    <a:prstGeom prst="rect">
                      <a:avLst/>
                    </a:prstGeom>
                    <a:noFill/>
                    <a:ln w="9525">
                      <a:noFill/>
                      <a:miter lim="800000"/>
                      <a:headEnd/>
                      <a:tailEnd/>
                    </a:ln>
                  </pic:spPr>
                </pic:pic>
              </a:graphicData>
            </a:graphic>
          </wp:inline>
        </w:drawing>
      </w:r>
    </w:p>
    <w:p w:rsidR="00093AF7" w:rsidRPr="005937AA" w:rsidRDefault="00093AF7" w:rsidP="003A6A39">
      <w:pPr>
        <w:spacing w:line="276" w:lineRule="auto"/>
        <w:ind w:left="708"/>
        <w:jc w:val="both"/>
        <w:rPr>
          <w:rFonts w:ascii="Calibri" w:eastAsia="Calibri" w:hAnsi="Calibri"/>
          <w:bCs/>
          <w:sz w:val="16"/>
          <w:szCs w:val="16"/>
          <w:lang w:val="en-US" w:eastAsia="en-US"/>
        </w:rPr>
      </w:pPr>
      <w:r w:rsidRPr="005937AA">
        <w:rPr>
          <w:rFonts w:ascii="Calibri" w:eastAsia="Calibri" w:hAnsi="Calibri"/>
          <w:bCs/>
          <w:sz w:val="16"/>
          <w:szCs w:val="16"/>
          <w:lang w:val="en-US" w:eastAsia="en-US"/>
        </w:rPr>
        <w:t xml:space="preserve">       </w:t>
      </w:r>
      <w:r w:rsidR="00993A6D">
        <w:rPr>
          <w:rFonts w:ascii="Calibri" w:eastAsia="Calibri" w:hAnsi="Calibri"/>
          <w:bCs/>
          <w:sz w:val="16"/>
          <w:szCs w:val="16"/>
          <w:lang w:val="en-US" w:eastAsia="en-US"/>
        </w:rPr>
        <w:tab/>
      </w:r>
      <w:r w:rsidRPr="005937AA">
        <w:rPr>
          <w:rFonts w:ascii="Calibri" w:eastAsia="Calibri" w:hAnsi="Calibri"/>
          <w:bCs/>
          <w:sz w:val="16"/>
          <w:szCs w:val="16"/>
          <w:lang w:val="en-US" w:eastAsia="en-US"/>
        </w:rPr>
        <w:t xml:space="preserve"> Source: MEF – Transparencia Económica </w:t>
      </w:r>
    </w:p>
    <w:p w:rsidR="00093AF7" w:rsidRPr="0088722D" w:rsidRDefault="00093AF7" w:rsidP="003A6A39">
      <w:pPr>
        <w:spacing w:line="276" w:lineRule="auto"/>
        <w:jc w:val="center"/>
        <w:rPr>
          <w:rFonts w:ascii="Calibri" w:eastAsia="Calibri" w:hAnsi="Calibri"/>
          <w:bCs/>
          <w:sz w:val="22"/>
          <w:szCs w:val="20"/>
          <w:lang w:val="en-US" w:eastAsia="en-US"/>
        </w:rPr>
      </w:pPr>
    </w:p>
    <w:p w:rsidR="00252260" w:rsidRPr="0088722D" w:rsidRDefault="00252260"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In most cases, there is a high enough rate of completion. However, the investment item is significantly lower the rest. </w:t>
      </w:r>
      <w:r w:rsidR="00EB26E8" w:rsidRPr="0088722D">
        <w:rPr>
          <w:rFonts w:ascii="Calibri" w:eastAsia="Calibri" w:hAnsi="Calibri"/>
          <w:bCs/>
          <w:sz w:val="22"/>
          <w:szCs w:val="20"/>
          <w:lang w:val="en-US" w:eastAsia="en-US"/>
        </w:rPr>
        <w:t xml:space="preserve">Due to the fact that this is more than half of the budget for this sector, this explains why as a whole it seems to be far behind its goals. </w:t>
      </w:r>
    </w:p>
    <w:p w:rsidR="00EB26E8" w:rsidRPr="0088722D" w:rsidRDefault="00EB26E8" w:rsidP="003A6A39">
      <w:pPr>
        <w:spacing w:line="276" w:lineRule="auto"/>
        <w:rPr>
          <w:rFonts w:ascii="Calibri" w:eastAsia="Calibri" w:hAnsi="Calibri"/>
          <w:bCs/>
          <w:sz w:val="22"/>
          <w:szCs w:val="20"/>
          <w:lang w:val="en-US" w:eastAsia="en-US"/>
        </w:rPr>
      </w:pPr>
    </w:p>
    <w:p w:rsidR="00093AF7" w:rsidRPr="00032314" w:rsidRDefault="00DF7613" w:rsidP="004A6932">
      <w:pPr>
        <w:pStyle w:val="Epgrafe"/>
        <w:jc w:val="center"/>
        <w:rPr>
          <w:rFonts w:ascii="Calibri" w:eastAsia="Calibri" w:hAnsi="Calibri"/>
          <w:color w:val="4F81BD"/>
          <w:sz w:val="22"/>
          <w:szCs w:val="22"/>
          <w:lang w:val="en-US" w:eastAsia="en-US"/>
        </w:rPr>
      </w:pPr>
      <w:r w:rsidRPr="00032314">
        <w:rPr>
          <w:rFonts w:ascii="Calibri" w:eastAsia="Calibri" w:hAnsi="Calibri"/>
          <w:color w:val="4F81BD"/>
          <w:sz w:val="22"/>
          <w:szCs w:val="22"/>
          <w:lang w:val="en-US" w:eastAsia="en-US"/>
        </w:rPr>
        <w:t>Figure</w:t>
      </w:r>
      <w:r w:rsidR="00032314">
        <w:rPr>
          <w:rFonts w:ascii="Calibri" w:eastAsia="Calibri" w:hAnsi="Calibri"/>
          <w:color w:val="4F81BD"/>
          <w:sz w:val="22"/>
          <w:szCs w:val="22"/>
          <w:lang w:val="en-US" w:eastAsia="en-US"/>
        </w:rPr>
        <w:t xml:space="preserve"> 1</w:t>
      </w:r>
      <w:r w:rsidR="004C607C">
        <w:rPr>
          <w:rFonts w:ascii="Calibri" w:eastAsia="Calibri" w:hAnsi="Calibri"/>
          <w:color w:val="4F81BD"/>
          <w:sz w:val="22"/>
          <w:szCs w:val="22"/>
          <w:lang w:val="en-US" w:eastAsia="en-US"/>
        </w:rPr>
        <w:t>0</w:t>
      </w:r>
      <w:r w:rsidRPr="00032314">
        <w:rPr>
          <w:rFonts w:ascii="Calibri" w:eastAsia="Calibri" w:hAnsi="Calibri"/>
          <w:color w:val="4F81BD"/>
          <w:sz w:val="22"/>
          <w:szCs w:val="22"/>
          <w:lang w:val="en-US" w:eastAsia="en-US"/>
        </w:rPr>
        <w:t>: Weight of the Main Items in the Budget - 2008</w:t>
      </w:r>
    </w:p>
    <w:p w:rsidR="00DF7613" w:rsidRPr="0088722D" w:rsidRDefault="00786AEB" w:rsidP="003A6A39">
      <w:pPr>
        <w:tabs>
          <w:tab w:val="left" w:pos="440"/>
        </w:tabs>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873500" cy="208788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3873500" cy="2087880"/>
                    </a:xfrm>
                    <a:prstGeom prst="rect">
                      <a:avLst/>
                    </a:prstGeom>
                    <a:noFill/>
                    <a:ln w="9525">
                      <a:noFill/>
                      <a:miter lim="800000"/>
                      <a:headEnd/>
                      <a:tailEnd/>
                    </a:ln>
                  </pic:spPr>
                </pic:pic>
              </a:graphicData>
            </a:graphic>
          </wp:inline>
        </w:drawing>
      </w:r>
    </w:p>
    <w:p w:rsidR="004A6932" w:rsidRPr="005937AA" w:rsidRDefault="004A6932" w:rsidP="004A6932">
      <w:pPr>
        <w:spacing w:line="276" w:lineRule="auto"/>
        <w:ind w:left="708"/>
        <w:jc w:val="both"/>
        <w:rPr>
          <w:rFonts w:ascii="Calibri" w:eastAsia="Calibri" w:hAnsi="Calibri"/>
          <w:bCs/>
          <w:sz w:val="16"/>
          <w:szCs w:val="16"/>
          <w:lang w:val="en-US" w:eastAsia="en-US"/>
        </w:rPr>
      </w:pPr>
      <w:r w:rsidRPr="005937AA">
        <w:rPr>
          <w:rFonts w:ascii="Calibri" w:eastAsia="Calibri" w:hAnsi="Calibri"/>
          <w:bCs/>
          <w:sz w:val="16"/>
          <w:szCs w:val="16"/>
          <w:lang w:val="en-US" w:eastAsia="en-US"/>
        </w:rPr>
        <w:t xml:space="preserve">        Source: MEF – Transparencia Económica </w:t>
      </w:r>
    </w:p>
    <w:p w:rsidR="00DF7613" w:rsidRPr="0088722D" w:rsidRDefault="00DF7613" w:rsidP="003A6A39">
      <w:pPr>
        <w:tabs>
          <w:tab w:val="left" w:pos="440"/>
        </w:tabs>
        <w:spacing w:line="276" w:lineRule="auto"/>
        <w:jc w:val="center"/>
        <w:rPr>
          <w:rFonts w:ascii="Calibri" w:eastAsia="Calibri" w:hAnsi="Calibri"/>
          <w:bCs/>
          <w:sz w:val="22"/>
          <w:szCs w:val="20"/>
          <w:lang w:val="en-US" w:eastAsia="en-US"/>
        </w:rPr>
      </w:pPr>
    </w:p>
    <w:p w:rsidR="00DF7613" w:rsidRPr="0088722D" w:rsidRDefault="00EB26E8"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In most cases, there is a high enough rate of completion. However, the investment item is significantly lower</w:t>
      </w:r>
      <w:r w:rsidR="00E72DF3">
        <w:rPr>
          <w:rFonts w:ascii="Calibri" w:eastAsia="Calibri" w:hAnsi="Calibri"/>
          <w:bCs/>
          <w:sz w:val="22"/>
          <w:szCs w:val="20"/>
          <w:lang w:val="en-US" w:eastAsia="en-US"/>
        </w:rPr>
        <w:t>ing</w:t>
      </w:r>
      <w:r w:rsidRPr="0088722D">
        <w:rPr>
          <w:rFonts w:ascii="Calibri" w:eastAsia="Calibri" w:hAnsi="Calibri"/>
          <w:bCs/>
          <w:sz w:val="22"/>
          <w:szCs w:val="20"/>
          <w:lang w:val="en-US" w:eastAsia="en-US"/>
        </w:rPr>
        <w:t xml:space="preserve"> the rest. Due to the fact that this is more than half of the budget for this sector, this explains why as a whole it seems to be far behind its goals.</w:t>
      </w:r>
    </w:p>
    <w:p w:rsidR="00DF7613" w:rsidRPr="0088722D" w:rsidRDefault="00DF7613" w:rsidP="003A6A39">
      <w:pPr>
        <w:tabs>
          <w:tab w:val="left" w:pos="440"/>
        </w:tabs>
        <w:spacing w:line="276" w:lineRule="auto"/>
        <w:rPr>
          <w:rFonts w:ascii="Calibri" w:eastAsia="Calibri" w:hAnsi="Calibri"/>
          <w:bCs/>
          <w:sz w:val="22"/>
          <w:szCs w:val="20"/>
          <w:lang w:val="en-US" w:eastAsia="en-US"/>
        </w:rPr>
      </w:pPr>
    </w:p>
    <w:p w:rsidR="00D35D54" w:rsidRPr="0088722D" w:rsidRDefault="00EB26E8"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When the investments are looked carefully, four items are the most important ones in terms of expenditures. </w:t>
      </w:r>
      <w:r w:rsidR="00D35D54" w:rsidRPr="0088722D">
        <w:rPr>
          <w:rFonts w:ascii="Calibri" w:eastAsia="Calibri" w:hAnsi="Calibri"/>
          <w:bCs/>
          <w:sz w:val="22"/>
          <w:szCs w:val="20"/>
          <w:lang w:val="en-US" w:eastAsia="en-US"/>
        </w:rPr>
        <w:t xml:space="preserve">Also, these four have a rate of completion similar to the total average of the sector, with the exception of Retributions and Complements - Fixed Term Contracts, which is almost at 75%. </w:t>
      </w:r>
    </w:p>
    <w:p w:rsidR="00D35D54" w:rsidRPr="0088722D" w:rsidRDefault="00D35D54" w:rsidP="003A6A39">
      <w:pPr>
        <w:tabs>
          <w:tab w:val="left" w:pos="440"/>
        </w:tabs>
        <w:spacing w:line="276" w:lineRule="auto"/>
        <w:jc w:val="both"/>
        <w:rPr>
          <w:rFonts w:ascii="Calibri" w:eastAsia="Calibri" w:hAnsi="Calibri"/>
          <w:bCs/>
          <w:sz w:val="22"/>
          <w:szCs w:val="20"/>
          <w:lang w:val="en-US" w:eastAsia="en-US"/>
        </w:rPr>
      </w:pPr>
    </w:p>
    <w:p w:rsidR="00EB26E8" w:rsidRPr="0088722D" w:rsidRDefault="00D35D54"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Two of them</w:t>
      </w:r>
      <w:r w:rsidR="00107187">
        <w:rPr>
          <w:rFonts w:ascii="Calibri" w:eastAsia="Calibri" w:hAnsi="Calibri"/>
          <w:bCs/>
          <w:sz w:val="22"/>
          <w:szCs w:val="20"/>
          <w:lang w:val="en-US" w:eastAsia="en-US"/>
        </w:rPr>
        <w:t xml:space="preserve"> are</w:t>
      </w:r>
      <w:r w:rsidRPr="0088722D">
        <w:rPr>
          <w:rFonts w:ascii="Calibri" w:eastAsia="Calibri" w:hAnsi="Calibri"/>
          <w:bCs/>
          <w:sz w:val="22"/>
          <w:szCs w:val="20"/>
          <w:lang w:val="en-US" w:eastAsia="en-US"/>
        </w:rPr>
        <w:t xml:space="preserve"> relate</w:t>
      </w:r>
      <w:r w:rsidR="00107187">
        <w:rPr>
          <w:rFonts w:ascii="Calibri" w:eastAsia="Calibri" w:hAnsi="Calibri"/>
          <w:bCs/>
          <w:sz w:val="22"/>
          <w:szCs w:val="20"/>
          <w:lang w:val="en-US" w:eastAsia="en-US"/>
        </w:rPr>
        <w:t>d</w:t>
      </w:r>
      <w:r w:rsidRPr="0088722D">
        <w:rPr>
          <w:rFonts w:ascii="Calibri" w:eastAsia="Calibri" w:hAnsi="Calibri"/>
          <w:bCs/>
          <w:sz w:val="22"/>
          <w:szCs w:val="20"/>
          <w:lang w:val="en-US" w:eastAsia="en-US"/>
        </w:rPr>
        <w:t xml:space="preserve"> to third party services, which main</w:t>
      </w:r>
      <w:r w:rsidR="00107187">
        <w:rPr>
          <w:rFonts w:ascii="Calibri" w:eastAsia="Calibri" w:hAnsi="Calibri"/>
          <w:bCs/>
          <w:sz w:val="22"/>
          <w:szCs w:val="20"/>
          <w:lang w:val="en-US" w:eastAsia="en-US"/>
        </w:rPr>
        <w:t>ly</w:t>
      </w:r>
      <w:r w:rsidRPr="0088722D">
        <w:rPr>
          <w:rFonts w:ascii="Calibri" w:eastAsia="Calibri" w:hAnsi="Calibri"/>
          <w:bCs/>
          <w:sz w:val="22"/>
          <w:szCs w:val="20"/>
          <w:lang w:val="en-US" w:eastAsia="en-US"/>
        </w:rPr>
        <w:t xml:space="preserve"> expla</w:t>
      </w:r>
      <w:r w:rsidR="006171DD">
        <w:rPr>
          <w:rFonts w:ascii="Calibri" w:eastAsia="Calibri" w:hAnsi="Calibri"/>
          <w:bCs/>
          <w:sz w:val="22"/>
          <w:szCs w:val="20"/>
          <w:lang w:val="en-US" w:eastAsia="en-US"/>
        </w:rPr>
        <w:t xml:space="preserve">in why </w:t>
      </w:r>
      <w:r w:rsidR="00107187">
        <w:rPr>
          <w:rFonts w:ascii="Calibri" w:eastAsia="Calibri" w:hAnsi="Calibri"/>
          <w:bCs/>
          <w:sz w:val="22"/>
          <w:szCs w:val="20"/>
          <w:lang w:val="en-US" w:eastAsia="en-US"/>
        </w:rPr>
        <w:t>they are</w:t>
      </w:r>
      <w:r w:rsidR="006171DD">
        <w:rPr>
          <w:rFonts w:ascii="Calibri" w:eastAsia="Calibri" w:hAnsi="Calibri"/>
          <w:bCs/>
          <w:sz w:val="22"/>
          <w:szCs w:val="20"/>
          <w:lang w:val="en-US" w:eastAsia="en-US"/>
        </w:rPr>
        <w:t xml:space="preserve"> behind schedule. </w:t>
      </w:r>
      <w:r w:rsidRPr="0088722D">
        <w:rPr>
          <w:rFonts w:ascii="Calibri" w:eastAsia="Calibri" w:hAnsi="Calibri"/>
          <w:bCs/>
          <w:sz w:val="22"/>
          <w:szCs w:val="20"/>
          <w:lang w:val="en-US" w:eastAsia="en-US"/>
        </w:rPr>
        <w:t xml:space="preserve">Because these items include the construction of infrastructure and different studies </w:t>
      </w:r>
      <w:r w:rsidRPr="0088722D">
        <w:rPr>
          <w:rFonts w:ascii="Calibri" w:eastAsia="Calibri" w:hAnsi="Calibri"/>
          <w:bCs/>
          <w:sz w:val="22"/>
          <w:szCs w:val="20"/>
          <w:lang w:val="en-US" w:eastAsia="en-US"/>
        </w:rPr>
        <w:lastRenderedPageBreak/>
        <w:t xml:space="preserve">like planning or feasibility, may take longer than expected due to </w:t>
      </w:r>
      <w:r w:rsidR="00107187">
        <w:rPr>
          <w:rFonts w:ascii="Calibri" w:eastAsia="Calibri" w:hAnsi="Calibri"/>
          <w:bCs/>
          <w:sz w:val="22"/>
          <w:szCs w:val="20"/>
          <w:lang w:val="en-US" w:eastAsia="en-US"/>
        </w:rPr>
        <w:t xml:space="preserve">unexpected </w:t>
      </w:r>
      <w:r w:rsidRPr="0088722D">
        <w:rPr>
          <w:rFonts w:ascii="Calibri" w:eastAsia="Calibri" w:hAnsi="Calibri"/>
          <w:bCs/>
          <w:sz w:val="22"/>
          <w:szCs w:val="20"/>
          <w:lang w:val="en-US" w:eastAsia="en-US"/>
        </w:rPr>
        <w:t xml:space="preserve">complications in the process. However, inaccurate measurement of the deadline of a project may cause extra expenses which ultimately generate </w:t>
      </w:r>
      <w:r w:rsidR="00963BF9" w:rsidRPr="0088722D">
        <w:rPr>
          <w:rFonts w:ascii="Calibri" w:eastAsia="Calibri" w:hAnsi="Calibri"/>
          <w:bCs/>
          <w:sz w:val="22"/>
          <w:szCs w:val="20"/>
          <w:lang w:val="en-US" w:eastAsia="en-US"/>
        </w:rPr>
        <w:t>inefficiencies</w:t>
      </w:r>
      <w:r w:rsidRPr="0088722D">
        <w:rPr>
          <w:rFonts w:ascii="Calibri" w:eastAsia="Calibri" w:hAnsi="Calibri"/>
          <w:bCs/>
          <w:sz w:val="22"/>
          <w:szCs w:val="20"/>
          <w:lang w:val="en-US" w:eastAsia="en-US"/>
        </w:rPr>
        <w:t>.</w:t>
      </w:r>
    </w:p>
    <w:p w:rsidR="00D35D54" w:rsidRPr="0088722D" w:rsidRDefault="00D35D54" w:rsidP="003A6A39">
      <w:pPr>
        <w:tabs>
          <w:tab w:val="left" w:pos="440"/>
        </w:tabs>
        <w:spacing w:line="276" w:lineRule="auto"/>
        <w:jc w:val="both"/>
        <w:rPr>
          <w:rFonts w:ascii="Calibri" w:eastAsia="Calibri" w:hAnsi="Calibri"/>
          <w:bCs/>
          <w:sz w:val="22"/>
          <w:szCs w:val="20"/>
          <w:lang w:val="en-US" w:eastAsia="en-US"/>
        </w:rPr>
      </w:pPr>
    </w:p>
    <w:p w:rsidR="00093AF7" w:rsidRPr="00E72DF3" w:rsidRDefault="00093AF7" w:rsidP="00876CC7">
      <w:pPr>
        <w:pStyle w:val="Epgrafe"/>
        <w:jc w:val="center"/>
        <w:rPr>
          <w:rFonts w:ascii="Calibri" w:eastAsia="Calibri" w:hAnsi="Calibri"/>
          <w:color w:val="4F81BD"/>
          <w:sz w:val="22"/>
          <w:szCs w:val="22"/>
          <w:lang w:val="en-US" w:eastAsia="en-US"/>
        </w:rPr>
      </w:pPr>
      <w:r w:rsidRPr="00E72DF3">
        <w:rPr>
          <w:rFonts w:ascii="Calibri" w:eastAsia="Calibri" w:hAnsi="Calibri"/>
          <w:color w:val="4F81BD"/>
          <w:sz w:val="22"/>
          <w:szCs w:val="22"/>
          <w:lang w:val="en-US" w:eastAsia="en-US"/>
        </w:rPr>
        <w:t>Figure</w:t>
      </w:r>
      <w:r w:rsidR="004C607C">
        <w:rPr>
          <w:rFonts w:ascii="Calibri" w:eastAsia="Calibri" w:hAnsi="Calibri"/>
          <w:color w:val="4F81BD"/>
          <w:sz w:val="22"/>
          <w:szCs w:val="22"/>
          <w:lang w:val="en-US" w:eastAsia="en-US"/>
        </w:rPr>
        <w:t xml:space="preserve"> 11</w:t>
      </w:r>
      <w:r w:rsidRPr="00E72DF3">
        <w:rPr>
          <w:rFonts w:ascii="Calibri" w:eastAsia="Calibri" w:hAnsi="Calibri"/>
          <w:color w:val="4F81BD"/>
          <w:sz w:val="22"/>
          <w:szCs w:val="22"/>
          <w:lang w:val="en-US" w:eastAsia="en-US"/>
        </w:rPr>
        <w:t>: Investments</w:t>
      </w:r>
    </w:p>
    <w:p w:rsidR="00B95A4D" w:rsidRPr="0088722D" w:rsidRDefault="00786AEB" w:rsidP="003A6A39">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4537710" cy="215646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4537710" cy="2156460"/>
                    </a:xfrm>
                    <a:prstGeom prst="rect">
                      <a:avLst/>
                    </a:prstGeom>
                    <a:noFill/>
                    <a:ln w="9525">
                      <a:noFill/>
                      <a:miter lim="800000"/>
                      <a:headEnd/>
                      <a:tailEnd/>
                    </a:ln>
                  </pic:spPr>
                </pic:pic>
              </a:graphicData>
            </a:graphic>
          </wp:inline>
        </w:drawing>
      </w:r>
    </w:p>
    <w:p w:rsidR="00093AF7" w:rsidRPr="00876CC7" w:rsidRDefault="00093AF7" w:rsidP="003A6A39">
      <w:pPr>
        <w:spacing w:line="276" w:lineRule="auto"/>
        <w:ind w:firstLine="708"/>
        <w:jc w:val="both"/>
        <w:rPr>
          <w:rFonts w:ascii="Calibri" w:eastAsia="Calibri" w:hAnsi="Calibri"/>
          <w:bCs/>
          <w:sz w:val="16"/>
          <w:szCs w:val="16"/>
          <w:lang w:val="en-US" w:eastAsia="en-US"/>
        </w:rPr>
      </w:pPr>
      <w:r w:rsidRPr="00876CC7">
        <w:rPr>
          <w:rFonts w:ascii="Calibri" w:eastAsia="Calibri" w:hAnsi="Calibri"/>
          <w:bCs/>
          <w:sz w:val="16"/>
          <w:szCs w:val="16"/>
          <w:lang w:val="en-US" w:eastAsia="en-US"/>
        </w:rPr>
        <w:t xml:space="preserve">       Source: MEF – Transparencia Económica </w:t>
      </w:r>
    </w:p>
    <w:p w:rsidR="00DF7613" w:rsidRPr="0088722D" w:rsidRDefault="00DF7613" w:rsidP="003A6A39">
      <w:pPr>
        <w:spacing w:line="276" w:lineRule="auto"/>
        <w:jc w:val="center"/>
        <w:rPr>
          <w:rFonts w:ascii="Calibri" w:eastAsia="Calibri" w:hAnsi="Calibri"/>
          <w:bCs/>
          <w:sz w:val="22"/>
          <w:szCs w:val="20"/>
          <w:lang w:val="en-US" w:eastAsia="en-US"/>
        </w:rPr>
      </w:pPr>
    </w:p>
    <w:p w:rsidR="005A32C7" w:rsidRPr="0088722D" w:rsidRDefault="00D35D54"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A second point noted earlier is the fact that </w:t>
      </w:r>
      <w:r w:rsidR="005A32C7" w:rsidRPr="0088722D">
        <w:rPr>
          <w:rFonts w:ascii="Calibri" w:eastAsia="Calibri" w:hAnsi="Calibri"/>
          <w:bCs/>
          <w:sz w:val="22"/>
          <w:szCs w:val="20"/>
          <w:lang w:val="en-US" w:eastAsia="en-US"/>
        </w:rPr>
        <w:t xml:space="preserve">the expenditures in </w:t>
      </w:r>
      <w:r w:rsidRPr="0088722D">
        <w:rPr>
          <w:rFonts w:ascii="Calibri" w:eastAsia="Calibri" w:hAnsi="Calibri"/>
          <w:bCs/>
          <w:sz w:val="22"/>
          <w:szCs w:val="20"/>
          <w:lang w:val="en-US" w:eastAsia="en-US"/>
        </w:rPr>
        <w:t>this sector</w:t>
      </w:r>
      <w:r w:rsidR="005A32C7" w:rsidRPr="0088722D">
        <w:rPr>
          <w:rFonts w:ascii="Calibri" w:eastAsia="Calibri" w:hAnsi="Calibri"/>
          <w:bCs/>
          <w:sz w:val="22"/>
          <w:szCs w:val="20"/>
          <w:lang w:val="en-US" w:eastAsia="en-US"/>
        </w:rPr>
        <w:t xml:space="preserve"> are</w:t>
      </w:r>
      <w:r w:rsidRPr="0088722D">
        <w:rPr>
          <w:rFonts w:ascii="Calibri" w:eastAsia="Calibri" w:hAnsi="Calibri"/>
          <w:bCs/>
          <w:sz w:val="22"/>
          <w:szCs w:val="20"/>
          <w:lang w:val="en-US" w:eastAsia="en-US"/>
        </w:rPr>
        <w:t xml:space="preserve"> primarily </w:t>
      </w:r>
      <w:r w:rsidR="005A32C7" w:rsidRPr="0088722D">
        <w:rPr>
          <w:rFonts w:ascii="Calibri" w:eastAsia="Calibri" w:hAnsi="Calibri"/>
          <w:bCs/>
          <w:sz w:val="22"/>
          <w:szCs w:val="20"/>
          <w:lang w:val="en-US" w:eastAsia="en-US"/>
        </w:rPr>
        <w:t xml:space="preserve">focused on infrastructure. As seen in Figure </w:t>
      </w:r>
      <w:r w:rsidR="00E72DF3">
        <w:rPr>
          <w:rFonts w:ascii="Calibri" w:eastAsia="Calibri" w:hAnsi="Calibri"/>
          <w:bCs/>
          <w:sz w:val="22"/>
          <w:szCs w:val="20"/>
          <w:lang w:val="en-US" w:eastAsia="en-US"/>
        </w:rPr>
        <w:t>1</w:t>
      </w:r>
      <w:r w:rsidR="004C607C">
        <w:rPr>
          <w:rFonts w:ascii="Calibri" w:eastAsia="Calibri" w:hAnsi="Calibri"/>
          <w:bCs/>
          <w:sz w:val="22"/>
          <w:szCs w:val="20"/>
          <w:lang w:val="en-US" w:eastAsia="en-US"/>
        </w:rPr>
        <w:t>2</w:t>
      </w:r>
      <w:r w:rsidR="005A32C7" w:rsidRPr="0088722D">
        <w:rPr>
          <w:rFonts w:ascii="Calibri" w:eastAsia="Calibri" w:hAnsi="Calibri"/>
          <w:bCs/>
          <w:sz w:val="22"/>
          <w:szCs w:val="20"/>
          <w:lang w:val="en-US" w:eastAsia="en-US"/>
        </w:rPr>
        <w:t>, the proportion of capital is considerably important, thou</w:t>
      </w:r>
      <w:r w:rsidR="00E72DF3">
        <w:rPr>
          <w:rFonts w:ascii="Calibri" w:eastAsia="Calibri" w:hAnsi="Calibri"/>
          <w:bCs/>
          <w:sz w:val="22"/>
          <w:szCs w:val="20"/>
          <w:lang w:val="en-US" w:eastAsia="en-US"/>
        </w:rPr>
        <w:t>gh</w:t>
      </w:r>
      <w:r w:rsidR="005A32C7" w:rsidRPr="0088722D">
        <w:rPr>
          <w:rFonts w:ascii="Calibri" w:eastAsia="Calibri" w:hAnsi="Calibri"/>
          <w:bCs/>
          <w:sz w:val="22"/>
          <w:szCs w:val="20"/>
          <w:lang w:val="en-US" w:eastAsia="en-US"/>
        </w:rPr>
        <w:t xml:space="preserve"> in the years of 2007 and </w:t>
      </w:r>
      <w:smartTag w:uri="urn:schemas-microsoft-com:office:smarttags" w:element="metricconverter">
        <w:smartTagPr>
          <w:attr w:name="ProductID" w:val="2008 a"/>
        </w:smartTagPr>
        <w:r w:rsidR="005A32C7" w:rsidRPr="0088722D">
          <w:rPr>
            <w:rFonts w:ascii="Calibri" w:eastAsia="Calibri" w:hAnsi="Calibri"/>
            <w:bCs/>
            <w:sz w:val="22"/>
            <w:szCs w:val="20"/>
            <w:lang w:val="en-US" w:eastAsia="en-US"/>
          </w:rPr>
          <w:t>2008 a</w:t>
        </w:r>
      </w:smartTag>
      <w:r w:rsidR="005A32C7" w:rsidRPr="0088722D">
        <w:rPr>
          <w:rFonts w:ascii="Calibri" w:eastAsia="Calibri" w:hAnsi="Calibri"/>
          <w:bCs/>
          <w:sz w:val="22"/>
          <w:szCs w:val="20"/>
          <w:lang w:val="en-US" w:eastAsia="en-US"/>
        </w:rPr>
        <w:t xml:space="preserve"> more relevant role </w:t>
      </w:r>
      <w:r w:rsidR="00963BF9" w:rsidRPr="0088722D">
        <w:rPr>
          <w:rFonts w:ascii="Calibri" w:eastAsia="Calibri" w:hAnsi="Calibri"/>
          <w:bCs/>
          <w:sz w:val="22"/>
          <w:szCs w:val="20"/>
          <w:lang w:val="en-US" w:eastAsia="en-US"/>
        </w:rPr>
        <w:t>was</w:t>
      </w:r>
      <w:r w:rsidR="005A32C7" w:rsidRPr="0088722D">
        <w:rPr>
          <w:rFonts w:ascii="Calibri" w:eastAsia="Calibri" w:hAnsi="Calibri"/>
          <w:bCs/>
          <w:sz w:val="22"/>
          <w:szCs w:val="20"/>
          <w:lang w:val="en-US" w:eastAsia="en-US"/>
        </w:rPr>
        <w:t xml:space="preserve"> given to recurrent expenditures.</w:t>
      </w:r>
    </w:p>
    <w:p w:rsidR="005A32C7" w:rsidRPr="0088722D" w:rsidRDefault="005A32C7" w:rsidP="003A6A39">
      <w:pPr>
        <w:tabs>
          <w:tab w:val="left" w:pos="440"/>
        </w:tabs>
        <w:spacing w:line="276" w:lineRule="auto"/>
        <w:jc w:val="both"/>
        <w:rPr>
          <w:rFonts w:ascii="Calibri" w:eastAsia="Calibri" w:hAnsi="Calibri"/>
          <w:bCs/>
          <w:sz w:val="22"/>
          <w:szCs w:val="20"/>
          <w:lang w:val="en-US" w:eastAsia="en-US"/>
        </w:rPr>
      </w:pPr>
    </w:p>
    <w:p w:rsidR="00DF7613" w:rsidRPr="00E72DF3" w:rsidRDefault="00DF7613" w:rsidP="00876CC7">
      <w:pPr>
        <w:pStyle w:val="Epgrafe"/>
        <w:jc w:val="center"/>
        <w:rPr>
          <w:rFonts w:ascii="Calibri" w:eastAsia="Calibri" w:hAnsi="Calibri"/>
          <w:color w:val="4F81BD"/>
          <w:sz w:val="22"/>
          <w:szCs w:val="22"/>
          <w:lang w:val="en-US" w:eastAsia="en-US"/>
        </w:rPr>
      </w:pPr>
      <w:r w:rsidRPr="00E72DF3">
        <w:rPr>
          <w:rFonts w:ascii="Calibri" w:eastAsia="Calibri" w:hAnsi="Calibri"/>
          <w:color w:val="4F81BD"/>
          <w:sz w:val="22"/>
          <w:szCs w:val="22"/>
          <w:lang w:val="en-US" w:eastAsia="en-US"/>
        </w:rPr>
        <w:t>Figure</w:t>
      </w:r>
      <w:r w:rsidR="00E72DF3" w:rsidRPr="00E72DF3">
        <w:rPr>
          <w:rFonts w:ascii="Calibri" w:eastAsia="Calibri" w:hAnsi="Calibri"/>
          <w:color w:val="4F81BD"/>
          <w:sz w:val="22"/>
          <w:szCs w:val="22"/>
          <w:lang w:val="en-US" w:eastAsia="en-US"/>
        </w:rPr>
        <w:t xml:space="preserve"> 1</w:t>
      </w:r>
      <w:r w:rsidR="004C607C">
        <w:rPr>
          <w:rFonts w:ascii="Calibri" w:eastAsia="Calibri" w:hAnsi="Calibri"/>
          <w:color w:val="4F81BD"/>
          <w:sz w:val="22"/>
          <w:szCs w:val="22"/>
          <w:lang w:val="en-US" w:eastAsia="en-US"/>
        </w:rPr>
        <w:t>2</w:t>
      </w:r>
      <w:r w:rsidRPr="00E72DF3">
        <w:rPr>
          <w:rFonts w:ascii="Calibri" w:eastAsia="Calibri" w:hAnsi="Calibri"/>
          <w:color w:val="4F81BD"/>
          <w:sz w:val="22"/>
          <w:szCs w:val="22"/>
          <w:lang w:val="en-US" w:eastAsia="en-US"/>
        </w:rPr>
        <w:t>: Proportion of Recurrent and Capital Expenditures</w:t>
      </w:r>
    </w:p>
    <w:p w:rsidR="00B95A4D" w:rsidRPr="0088722D" w:rsidRDefault="00786AEB" w:rsidP="003A6A39">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726815" cy="204470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3726815" cy="2044700"/>
                    </a:xfrm>
                    <a:prstGeom prst="rect">
                      <a:avLst/>
                    </a:prstGeom>
                    <a:noFill/>
                    <a:ln w="9525">
                      <a:noFill/>
                      <a:miter lim="800000"/>
                      <a:headEnd/>
                      <a:tailEnd/>
                    </a:ln>
                  </pic:spPr>
                </pic:pic>
              </a:graphicData>
            </a:graphic>
          </wp:inline>
        </w:drawing>
      </w:r>
    </w:p>
    <w:p w:rsidR="00093AF7" w:rsidRPr="00876CC7" w:rsidRDefault="00093AF7" w:rsidP="003A6A39">
      <w:pPr>
        <w:spacing w:line="276" w:lineRule="auto"/>
        <w:ind w:firstLine="708"/>
        <w:jc w:val="both"/>
        <w:rPr>
          <w:rFonts w:ascii="Calibri" w:eastAsia="Calibri" w:hAnsi="Calibri"/>
          <w:bCs/>
          <w:sz w:val="16"/>
          <w:szCs w:val="16"/>
          <w:lang w:val="en-US" w:eastAsia="en-US"/>
        </w:rPr>
      </w:pPr>
      <w:r w:rsidRPr="00876CC7">
        <w:rPr>
          <w:rFonts w:ascii="Calibri" w:eastAsia="Calibri" w:hAnsi="Calibri"/>
          <w:bCs/>
          <w:sz w:val="16"/>
          <w:szCs w:val="16"/>
          <w:lang w:val="en-US" w:eastAsia="en-US"/>
        </w:rPr>
        <w:t xml:space="preserve">    </w:t>
      </w:r>
      <w:r w:rsidR="005A32C7" w:rsidRPr="00876CC7">
        <w:rPr>
          <w:rFonts w:ascii="Calibri" w:eastAsia="Calibri" w:hAnsi="Calibri"/>
          <w:bCs/>
          <w:sz w:val="16"/>
          <w:szCs w:val="16"/>
          <w:lang w:val="en-US" w:eastAsia="en-US"/>
        </w:rPr>
        <w:tab/>
        <w:t xml:space="preserve">    </w:t>
      </w:r>
      <w:r w:rsidRPr="00876CC7">
        <w:rPr>
          <w:rFonts w:ascii="Calibri" w:eastAsia="Calibri" w:hAnsi="Calibri"/>
          <w:bCs/>
          <w:sz w:val="16"/>
          <w:szCs w:val="16"/>
          <w:lang w:val="en-US" w:eastAsia="en-US"/>
        </w:rPr>
        <w:t xml:space="preserve">  Source: MEF – Transparencia Económica </w:t>
      </w:r>
    </w:p>
    <w:p w:rsidR="005A32C7" w:rsidRPr="0088722D" w:rsidRDefault="005A32C7" w:rsidP="003A6A39">
      <w:pPr>
        <w:pStyle w:val="Epgrafe"/>
        <w:spacing w:line="276" w:lineRule="auto"/>
        <w:rPr>
          <w:rFonts w:ascii="Calibri" w:eastAsia="Calibri" w:hAnsi="Calibri"/>
          <w:b w:val="0"/>
          <w:sz w:val="22"/>
          <w:lang w:val="en-US" w:eastAsia="en-US"/>
        </w:rPr>
      </w:pPr>
    </w:p>
    <w:p w:rsidR="005A32C7" w:rsidRPr="0088722D" w:rsidRDefault="005A32C7" w:rsidP="003A6A39">
      <w:pPr>
        <w:pStyle w:val="Epgrafe"/>
        <w:tabs>
          <w:tab w:val="left" w:pos="440"/>
        </w:tabs>
        <w:spacing w:line="276" w:lineRule="auto"/>
        <w:jc w:val="both"/>
        <w:rPr>
          <w:rFonts w:ascii="Calibri" w:eastAsia="Calibri" w:hAnsi="Calibri"/>
          <w:b w:val="0"/>
          <w:sz w:val="22"/>
          <w:lang w:val="en-US" w:eastAsia="en-US"/>
        </w:rPr>
      </w:pPr>
      <w:r w:rsidRPr="0088722D">
        <w:rPr>
          <w:rFonts w:ascii="Calibri" w:eastAsia="Calibri" w:hAnsi="Calibri"/>
          <w:b w:val="0"/>
          <w:sz w:val="22"/>
          <w:lang w:val="en-US" w:eastAsia="en-US"/>
        </w:rPr>
        <w:t xml:space="preserve">Figure </w:t>
      </w:r>
      <w:r w:rsidR="00E72DF3">
        <w:rPr>
          <w:rFonts w:ascii="Calibri" w:eastAsia="Calibri" w:hAnsi="Calibri"/>
          <w:b w:val="0"/>
          <w:sz w:val="22"/>
          <w:lang w:val="en-US" w:eastAsia="en-US"/>
        </w:rPr>
        <w:t>11</w:t>
      </w:r>
      <w:r w:rsidRPr="0088722D">
        <w:rPr>
          <w:rFonts w:ascii="Calibri" w:eastAsia="Calibri" w:hAnsi="Calibri"/>
          <w:b w:val="0"/>
          <w:sz w:val="22"/>
          <w:lang w:val="en-US" w:eastAsia="en-US"/>
        </w:rPr>
        <w:t xml:space="preserve"> showed that the two capital expenditure items are investments and other capital expenditures. The investment side was previously analyzed in the preceding point. Therefore</w:t>
      </w:r>
      <w:r w:rsidR="00963BF9" w:rsidRPr="0088722D">
        <w:rPr>
          <w:rFonts w:ascii="Calibri" w:eastAsia="Calibri" w:hAnsi="Calibri"/>
          <w:b w:val="0"/>
          <w:sz w:val="22"/>
          <w:lang w:val="en-US" w:eastAsia="en-US"/>
        </w:rPr>
        <w:t>,</w:t>
      </w:r>
      <w:r w:rsidRPr="0088722D">
        <w:rPr>
          <w:rFonts w:ascii="Calibri" w:eastAsia="Calibri" w:hAnsi="Calibri"/>
          <w:b w:val="0"/>
          <w:sz w:val="22"/>
          <w:lang w:val="en-US" w:eastAsia="en-US"/>
        </w:rPr>
        <w:t xml:space="preserve"> Figure </w:t>
      </w:r>
      <w:r w:rsidR="00061F9F">
        <w:rPr>
          <w:rFonts w:ascii="Calibri" w:eastAsia="Calibri" w:hAnsi="Calibri"/>
          <w:b w:val="0"/>
          <w:sz w:val="22"/>
          <w:lang w:val="en-US" w:eastAsia="en-US"/>
        </w:rPr>
        <w:t>13</w:t>
      </w:r>
      <w:r w:rsidRPr="0088722D">
        <w:rPr>
          <w:rFonts w:ascii="Calibri" w:eastAsia="Calibri" w:hAnsi="Calibri"/>
          <w:b w:val="0"/>
          <w:sz w:val="22"/>
          <w:lang w:val="en-US" w:eastAsia="en-US"/>
        </w:rPr>
        <w:t xml:space="preserve"> presents this second use of capital.</w:t>
      </w:r>
    </w:p>
    <w:p w:rsidR="00916F42" w:rsidRDefault="00916F42" w:rsidP="00876CC7">
      <w:pPr>
        <w:pStyle w:val="Epgrafe"/>
        <w:jc w:val="center"/>
        <w:rPr>
          <w:rFonts w:ascii="Calibri" w:eastAsia="Calibri" w:hAnsi="Calibri"/>
          <w:color w:val="4F81BD"/>
          <w:sz w:val="22"/>
          <w:szCs w:val="22"/>
          <w:lang w:val="en-US" w:eastAsia="en-US"/>
        </w:rPr>
      </w:pPr>
    </w:p>
    <w:p w:rsidR="00093AF7" w:rsidRPr="007E47C4" w:rsidRDefault="00676EEC" w:rsidP="00876CC7">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br w:type="page"/>
      </w:r>
      <w:r w:rsidR="00D35D54" w:rsidRPr="007E47C4">
        <w:rPr>
          <w:rFonts w:ascii="Calibri" w:eastAsia="Calibri" w:hAnsi="Calibri"/>
          <w:color w:val="4F81BD"/>
          <w:sz w:val="22"/>
          <w:szCs w:val="22"/>
          <w:lang w:val="en-US" w:eastAsia="en-US"/>
        </w:rPr>
        <w:lastRenderedPageBreak/>
        <w:t>Figure</w:t>
      </w:r>
      <w:r w:rsidR="00E72DF3" w:rsidRPr="007E47C4">
        <w:rPr>
          <w:rFonts w:ascii="Calibri" w:eastAsia="Calibri" w:hAnsi="Calibri"/>
          <w:color w:val="4F81BD"/>
          <w:sz w:val="22"/>
          <w:szCs w:val="22"/>
          <w:lang w:val="en-US" w:eastAsia="en-US"/>
        </w:rPr>
        <w:t xml:space="preserve"> 1</w:t>
      </w:r>
      <w:r w:rsidR="00061F9F">
        <w:rPr>
          <w:rFonts w:ascii="Calibri" w:eastAsia="Calibri" w:hAnsi="Calibri"/>
          <w:color w:val="4F81BD"/>
          <w:sz w:val="22"/>
          <w:szCs w:val="22"/>
          <w:lang w:val="en-US" w:eastAsia="en-US"/>
        </w:rPr>
        <w:t>3</w:t>
      </w:r>
      <w:r w:rsidR="005A32C7" w:rsidRPr="007E47C4">
        <w:rPr>
          <w:rFonts w:ascii="Calibri" w:eastAsia="Calibri" w:hAnsi="Calibri"/>
          <w:color w:val="4F81BD"/>
          <w:sz w:val="22"/>
          <w:szCs w:val="22"/>
          <w:lang w:val="en-US" w:eastAsia="en-US"/>
        </w:rPr>
        <w:t>: Other Capital Expenditures</w:t>
      </w:r>
    </w:p>
    <w:p w:rsidR="00D35D54" w:rsidRPr="0088722D" w:rsidRDefault="00786AEB" w:rsidP="003A6A39">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3562985" cy="17684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3562985" cy="1768475"/>
                    </a:xfrm>
                    <a:prstGeom prst="rect">
                      <a:avLst/>
                    </a:prstGeom>
                    <a:noFill/>
                    <a:ln w="9525">
                      <a:noFill/>
                      <a:miter lim="800000"/>
                      <a:headEnd/>
                      <a:tailEnd/>
                    </a:ln>
                  </pic:spPr>
                </pic:pic>
              </a:graphicData>
            </a:graphic>
          </wp:inline>
        </w:drawing>
      </w:r>
    </w:p>
    <w:p w:rsidR="00D35D54" w:rsidRPr="00876CC7" w:rsidRDefault="005A32C7" w:rsidP="003A6A39">
      <w:pPr>
        <w:spacing w:line="276" w:lineRule="auto"/>
        <w:ind w:left="708" w:firstLine="708"/>
        <w:rPr>
          <w:rFonts w:ascii="Calibri" w:eastAsia="Calibri" w:hAnsi="Calibri"/>
          <w:bCs/>
          <w:sz w:val="16"/>
          <w:szCs w:val="16"/>
          <w:lang w:val="en-US" w:eastAsia="en-US"/>
        </w:rPr>
      </w:pPr>
      <w:r w:rsidRPr="00876CC7">
        <w:rPr>
          <w:rFonts w:ascii="Calibri" w:eastAsia="Calibri" w:hAnsi="Calibri"/>
          <w:bCs/>
          <w:sz w:val="16"/>
          <w:szCs w:val="16"/>
          <w:lang w:val="en-US" w:eastAsia="en-US"/>
        </w:rPr>
        <w:t>Source: MEF – Transparencia Económica</w:t>
      </w:r>
    </w:p>
    <w:p w:rsidR="00D35D54" w:rsidRPr="0088722D" w:rsidRDefault="00D35D54" w:rsidP="003A6A39">
      <w:pPr>
        <w:spacing w:line="276" w:lineRule="auto"/>
        <w:jc w:val="center"/>
        <w:rPr>
          <w:rFonts w:ascii="Calibri" w:eastAsia="Calibri" w:hAnsi="Calibri"/>
          <w:bCs/>
          <w:sz w:val="22"/>
          <w:szCs w:val="20"/>
          <w:lang w:val="en-US" w:eastAsia="en-US"/>
        </w:rPr>
      </w:pPr>
    </w:p>
    <w:p w:rsidR="00973894" w:rsidRPr="0088722D" w:rsidRDefault="00D2403F"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It can be seen that it is mostly composed by transferences to lower levels of government and business. These cover some financial necessities of the entities regarding planning, installation, construction and maintenance of connections, sew</w:t>
      </w:r>
      <w:r w:rsidR="00973894" w:rsidRPr="0088722D">
        <w:rPr>
          <w:rFonts w:ascii="Calibri" w:eastAsia="Calibri" w:hAnsi="Calibri"/>
          <w:bCs/>
          <w:sz w:val="22"/>
          <w:szCs w:val="20"/>
          <w:lang w:val="en-US" w:eastAsia="en-US"/>
        </w:rPr>
        <w:t>erages</w:t>
      </w:r>
      <w:r w:rsidRPr="0088722D">
        <w:rPr>
          <w:rFonts w:ascii="Calibri" w:eastAsia="Calibri" w:hAnsi="Calibri"/>
          <w:bCs/>
          <w:sz w:val="22"/>
          <w:szCs w:val="20"/>
          <w:lang w:val="en-US" w:eastAsia="en-US"/>
        </w:rPr>
        <w:t xml:space="preserve"> </w:t>
      </w:r>
      <w:r w:rsidR="00973894" w:rsidRPr="0088722D">
        <w:rPr>
          <w:rFonts w:ascii="Calibri" w:eastAsia="Calibri" w:hAnsi="Calibri"/>
          <w:bCs/>
          <w:sz w:val="22"/>
          <w:szCs w:val="20"/>
          <w:lang w:val="en-US" w:eastAsia="en-US"/>
        </w:rPr>
        <w:t>and waste</w:t>
      </w:r>
      <w:r w:rsidRPr="0088722D">
        <w:rPr>
          <w:rFonts w:ascii="Calibri" w:eastAsia="Calibri" w:hAnsi="Calibri"/>
          <w:bCs/>
          <w:sz w:val="22"/>
          <w:szCs w:val="20"/>
          <w:lang w:val="en-US" w:eastAsia="en-US"/>
        </w:rPr>
        <w:t>, among other</w:t>
      </w:r>
      <w:r w:rsidR="00973894" w:rsidRPr="0088722D">
        <w:rPr>
          <w:rFonts w:ascii="Calibri" w:eastAsia="Calibri" w:hAnsi="Calibri"/>
          <w:bCs/>
          <w:sz w:val="22"/>
          <w:szCs w:val="20"/>
          <w:lang w:val="en-US" w:eastAsia="en-US"/>
        </w:rPr>
        <w:t xml:space="preserve"> uses regarding the sector</w:t>
      </w:r>
      <w:r w:rsidRPr="0088722D">
        <w:rPr>
          <w:rFonts w:ascii="Calibri" w:eastAsia="Calibri" w:hAnsi="Calibri"/>
          <w:bCs/>
          <w:sz w:val="22"/>
          <w:szCs w:val="20"/>
          <w:lang w:val="en-US" w:eastAsia="en-US"/>
        </w:rPr>
        <w:t>.</w:t>
      </w:r>
    </w:p>
    <w:p w:rsidR="00973894" w:rsidRPr="0088722D" w:rsidRDefault="00973894" w:rsidP="003A6A39">
      <w:pPr>
        <w:tabs>
          <w:tab w:val="left" w:pos="440"/>
        </w:tabs>
        <w:spacing w:line="276" w:lineRule="auto"/>
        <w:jc w:val="both"/>
        <w:rPr>
          <w:rFonts w:ascii="Calibri" w:eastAsia="Calibri" w:hAnsi="Calibri"/>
          <w:bCs/>
          <w:sz w:val="22"/>
          <w:szCs w:val="20"/>
          <w:lang w:val="en-US" w:eastAsia="en-US"/>
        </w:rPr>
      </w:pPr>
    </w:p>
    <w:p w:rsidR="00973894" w:rsidRPr="0088722D" w:rsidRDefault="00973894" w:rsidP="008164FD">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Finally, one last point worth mentioning in this part is the great difference between initial budgets and successive modifications. The Presupuesto Institucional de Apertura (PIA) is the original one whereas the Presupuesto Institucional Modificado (PIM) </w:t>
      </w:r>
      <w:r w:rsidR="00C143E2">
        <w:rPr>
          <w:rFonts w:ascii="Calibri" w:eastAsia="Calibri" w:hAnsi="Calibri"/>
          <w:bCs/>
          <w:sz w:val="22"/>
          <w:szCs w:val="20"/>
          <w:lang w:val="en-US" w:eastAsia="en-US"/>
        </w:rPr>
        <w:t>includes</w:t>
      </w:r>
      <w:r w:rsidRPr="0088722D">
        <w:rPr>
          <w:rFonts w:ascii="Calibri" w:eastAsia="Calibri" w:hAnsi="Calibri"/>
          <w:bCs/>
          <w:sz w:val="22"/>
          <w:szCs w:val="20"/>
          <w:lang w:val="en-US" w:eastAsia="en-US"/>
        </w:rPr>
        <w:t xml:space="preserve"> all the changes done during the year.</w:t>
      </w:r>
      <w:r w:rsidR="00C143E2">
        <w:rPr>
          <w:rFonts w:ascii="Calibri" w:eastAsia="Calibri" w:hAnsi="Calibri"/>
          <w:bCs/>
          <w:sz w:val="22"/>
          <w:szCs w:val="20"/>
          <w:lang w:val="en-US" w:eastAsia="en-US"/>
        </w:rPr>
        <w:t xml:space="preserve"> Is important to mention that there is a common practice formulating budgets with very conservative tax revenues projections and include </w:t>
      </w:r>
      <w:r w:rsidR="008164FD">
        <w:rPr>
          <w:rFonts w:ascii="Calibri" w:eastAsia="Calibri" w:hAnsi="Calibri"/>
          <w:bCs/>
          <w:sz w:val="22"/>
          <w:szCs w:val="20"/>
          <w:lang w:val="en-US" w:eastAsia="en-US"/>
        </w:rPr>
        <w:t xml:space="preserve">any </w:t>
      </w:r>
      <w:r w:rsidR="00C143E2">
        <w:rPr>
          <w:rFonts w:ascii="Calibri" w:eastAsia="Calibri" w:hAnsi="Calibri"/>
          <w:bCs/>
          <w:sz w:val="22"/>
          <w:szCs w:val="20"/>
          <w:lang w:val="en-US" w:eastAsia="en-US"/>
        </w:rPr>
        <w:t xml:space="preserve">additional funds during the year </w:t>
      </w:r>
      <w:r w:rsidR="008164FD">
        <w:rPr>
          <w:rFonts w:ascii="Calibri" w:eastAsia="Calibri" w:hAnsi="Calibri"/>
          <w:bCs/>
          <w:sz w:val="22"/>
          <w:szCs w:val="20"/>
          <w:lang w:val="en-US" w:eastAsia="en-US"/>
        </w:rPr>
        <w:t>through new appropriations (supplemental credits in the Peruvian budget jargon). That is why the 2009 PIA budget would become an almost double PIM at the end of the year.</w:t>
      </w:r>
    </w:p>
    <w:p w:rsidR="00973894" w:rsidRPr="0088722D" w:rsidRDefault="00973894" w:rsidP="003A6A39">
      <w:pPr>
        <w:tabs>
          <w:tab w:val="left" w:pos="440"/>
        </w:tabs>
        <w:spacing w:line="276" w:lineRule="auto"/>
        <w:jc w:val="both"/>
        <w:rPr>
          <w:rFonts w:ascii="Calibri" w:eastAsia="Calibri" w:hAnsi="Calibri"/>
          <w:bCs/>
          <w:sz w:val="22"/>
          <w:szCs w:val="20"/>
          <w:lang w:val="en-US" w:eastAsia="en-US"/>
        </w:rPr>
      </w:pPr>
    </w:p>
    <w:p w:rsidR="00973894" w:rsidRDefault="00973894" w:rsidP="003A6A39">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Other important issue might be inefficiencies in the budgetary process. That may be the case of underestimating initial costs </w:t>
      </w:r>
      <w:r w:rsidR="00781130" w:rsidRPr="0088722D">
        <w:rPr>
          <w:rFonts w:ascii="Calibri" w:eastAsia="Calibri" w:hAnsi="Calibri"/>
          <w:bCs/>
          <w:sz w:val="22"/>
          <w:szCs w:val="20"/>
          <w:lang w:val="en-US" w:eastAsia="en-US"/>
        </w:rPr>
        <w:t xml:space="preserve">and then having to expand the budget to cover them. In this case, a faulty or </w:t>
      </w:r>
      <w:r w:rsidR="008164FD">
        <w:rPr>
          <w:rFonts w:ascii="Calibri" w:eastAsia="Calibri" w:hAnsi="Calibri"/>
          <w:bCs/>
          <w:sz w:val="22"/>
          <w:szCs w:val="20"/>
          <w:lang w:val="en-US" w:eastAsia="en-US"/>
        </w:rPr>
        <w:t>an in</w:t>
      </w:r>
      <w:r w:rsidR="00781130" w:rsidRPr="0088722D">
        <w:rPr>
          <w:rFonts w:ascii="Calibri" w:eastAsia="Calibri" w:hAnsi="Calibri"/>
          <w:bCs/>
          <w:sz w:val="22"/>
          <w:szCs w:val="20"/>
          <w:lang w:val="en-US" w:eastAsia="en-US"/>
        </w:rPr>
        <w:t>complete proposal might cause these extra costs later on during the year.</w:t>
      </w:r>
      <w:r w:rsidR="00625E3D">
        <w:rPr>
          <w:rFonts w:ascii="Calibri" w:eastAsia="Calibri" w:hAnsi="Calibri"/>
          <w:bCs/>
          <w:sz w:val="22"/>
          <w:szCs w:val="20"/>
          <w:lang w:val="en-US" w:eastAsia="en-US"/>
        </w:rPr>
        <w:t xml:space="preserve"> </w:t>
      </w:r>
      <w:r w:rsidR="00781130" w:rsidRPr="0088722D">
        <w:rPr>
          <w:rFonts w:ascii="Calibri" w:eastAsia="Calibri" w:hAnsi="Calibri"/>
          <w:bCs/>
          <w:sz w:val="22"/>
          <w:szCs w:val="20"/>
          <w:lang w:val="en-US" w:eastAsia="en-US"/>
        </w:rPr>
        <w:t>Also, one might consider unexpected complications and events that make the projects more expensive than initially planned.</w:t>
      </w:r>
      <w:r w:rsidRPr="0088722D">
        <w:rPr>
          <w:rFonts w:ascii="Calibri" w:eastAsia="Calibri" w:hAnsi="Calibri"/>
          <w:bCs/>
          <w:sz w:val="22"/>
          <w:szCs w:val="20"/>
          <w:lang w:val="en-US" w:eastAsia="en-US"/>
        </w:rPr>
        <w:t xml:space="preserve"> </w:t>
      </w:r>
    </w:p>
    <w:p w:rsidR="00625E3D" w:rsidRPr="0088722D" w:rsidRDefault="00625E3D" w:rsidP="003A6A39">
      <w:pPr>
        <w:tabs>
          <w:tab w:val="left" w:pos="440"/>
        </w:tabs>
        <w:spacing w:line="276" w:lineRule="auto"/>
        <w:jc w:val="both"/>
        <w:rPr>
          <w:rFonts w:ascii="Calibri" w:eastAsia="Calibri" w:hAnsi="Calibri"/>
          <w:bCs/>
          <w:sz w:val="22"/>
          <w:szCs w:val="20"/>
          <w:lang w:val="en-US" w:eastAsia="en-US"/>
        </w:rPr>
      </w:pPr>
    </w:p>
    <w:p w:rsidR="00D64900" w:rsidRPr="00625E3D" w:rsidRDefault="003C4CD8" w:rsidP="00B22A6D">
      <w:pPr>
        <w:pStyle w:val="Epgrafe"/>
        <w:jc w:val="center"/>
        <w:rPr>
          <w:rFonts w:ascii="Calibri" w:eastAsia="Calibri" w:hAnsi="Calibri"/>
          <w:color w:val="4F81BD"/>
          <w:sz w:val="22"/>
          <w:szCs w:val="22"/>
          <w:lang w:val="en-US" w:eastAsia="en-US"/>
        </w:rPr>
      </w:pPr>
      <w:r w:rsidRPr="00625E3D">
        <w:rPr>
          <w:rFonts w:ascii="Calibri" w:eastAsia="Calibri" w:hAnsi="Calibri"/>
          <w:color w:val="4F81BD"/>
          <w:sz w:val="22"/>
          <w:szCs w:val="22"/>
          <w:lang w:val="en-US" w:eastAsia="en-US"/>
        </w:rPr>
        <w:t xml:space="preserve">Table </w:t>
      </w:r>
      <w:r w:rsidR="00625E3D" w:rsidRPr="00625E3D">
        <w:rPr>
          <w:rFonts w:ascii="Calibri" w:eastAsia="Calibri" w:hAnsi="Calibri"/>
          <w:color w:val="4F81BD"/>
          <w:sz w:val="22"/>
          <w:szCs w:val="22"/>
          <w:lang w:val="en-US" w:eastAsia="en-US"/>
        </w:rPr>
        <w:t>6</w:t>
      </w:r>
    </w:p>
    <w:p w:rsidR="00D64900" w:rsidRPr="0088722D" w:rsidRDefault="00786AEB" w:rsidP="003A6A39">
      <w:pPr>
        <w:spacing w:line="276" w:lineRule="auto"/>
        <w:jc w:val="center"/>
        <w:rPr>
          <w:rFonts w:ascii="Calibri" w:eastAsia="Calibri" w:hAnsi="Calibri"/>
          <w:bCs/>
          <w:sz w:val="22"/>
          <w:szCs w:val="20"/>
          <w:lang w:val="en-US" w:eastAsia="en-US"/>
        </w:rPr>
      </w:pPr>
      <w:r>
        <w:rPr>
          <w:rFonts w:ascii="Calibri" w:eastAsia="Calibri" w:hAnsi="Calibri"/>
          <w:bCs/>
          <w:noProof/>
          <w:sz w:val="22"/>
          <w:szCs w:val="20"/>
          <w:lang w:val="es-PE" w:eastAsia="es-PE"/>
        </w:rPr>
        <w:drawing>
          <wp:inline distT="0" distB="0" distL="0" distR="0">
            <wp:extent cx="4511675" cy="1457960"/>
            <wp:effectExtent l="1905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4511675" cy="1457960"/>
                    </a:xfrm>
                    <a:prstGeom prst="rect">
                      <a:avLst/>
                    </a:prstGeom>
                    <a:noFill/>
                    <a:ln w="9525">
                      <a:noFill/>
                      <a:miter lim="800000"/>
                      <a:headEnd/>
                      <a:tailEnd/>
                    </a:ln>
                  </pic:spPr>
                </pic:pic>
              </a:graphicData>
            </a:graphic>
          </wp:inline>
        </w:drawing>
      </w:r>
    </w:p>
    <w:p w:rsidR="00093AF7" w:rsidRDefault="00093AF7" w:rsidP="00916F42">
      <w:pPr>
        <w:spacing w:line="276" w:lineRule="auto"/>
        <w:ind w:firstLine="708"/>
        <w:jc w:val="both"/>
        <w:rPr>
          <w:rFonts w:ascii="Calibri" w:eastAsia="Calibri" w:hAnsi="Calibri"/>
          <w:bCs/>
          <w:sz w:val="16"/>
          <w:szCs w:val="16"/>
          <w:lang w:val="en-US" w:eastAsia="en-US"/>
        </w:rPr>
      </w:pPr>
      <w:r w:rsidRPr="00625E3D">
        <w:rPr>
          <w:rFonts w:ascii="Calibri" w:eastAsia="Calibri" w:hAnsi="Calibri"/>
          <w:bCs/>
          <w:sz w:val="16"/>
          <w:szCs w:val="16"/>
          <w:lang w:val="en-US" w:eastAsia="en-US"/>
        </w:rPr>
        <w:t xml:space="preserve">Source: MEF – Transparencia Económica </w:t>
      </w:r>
    </w:p>
    <w:p w:rsidR="00916F42" w:rsidRPr="00625E3D" w:rsidRDefault="00916F42" w:rsidP="003A6A39">
      <w:pPr>
        <w:spacing w:line="276" w:lineRule="auto"/>
        <w:ind w:firstLine="360"/>
        <w:jc w:val="both"/>
        <w:rPr>
          <w:rFonts w:ascii="Calibri" w:eastAsia="Calibri" w:hAnsi="Calibri"/>
          <w:bCs/>
          <w:sz w:val="16"/>
          <w:szCs w:val="16"/>
          <w:lang w:val="en-US" w:eastAsia="en-US"/>
        </w:rPr>
      </w:pPr>
      <w:r>
        <w:rPr>
          <w:rFonts w:ascii="Calibri" w:eastAsia="Calibri" w:hAnsi="Calibri"/>
          <w:bCs/>
          <w:sz w:val="16"/>
          <w:szCs w:val="16"/>
          <w:lang w:val="en-US" w:eastAsia="en-US"/>
        </w:rPr>
        <w:br w:type="page"/>
      </w:r>
    </w:p>
    <w:p w:rsidR="00FE2472" w:rsidRDefault="00FE2472" w:rsidP="00916F42">
      <w:pPr>
        <w:pStyle w:val="Graciela1"/>
        <w:spacing w:before="0"/>
        <w:rPr>
          <w:kern w:val="0"/>
          <w:lang w:eastAsia="en-US"/>
        </w:rPr>
      </w:pPr>
      <w:bookmarkStart w:id="15" w:name="_Toc254912255"/>
      <w:bookmarkStart w:id="16" w:name="_Toc245908070"/>
      <w:bookmarkStart w:id="17" w:name="_Toc246146222"/>
      <w:r w:rsidRPr="00FE2472">
        <w:rPr>
          <w:kern w:val="0"/>
          <w:lang w:val="es-ES" w:eastAsia="en-US"/>
        </w:rPr>
        <w:lastRenderedPageBreak/>
        <w:t xml:space="preserve">III. </w:t>
      </w:r>
      <w:r>
        <w:rPr>
          <w:kern w:val="0"/>
          <w:lang w:eastAsia="en-US"/>
        </w:rPr>
        <w:t>Benefit Incidence Analysis</w:t>
      </w:r>
      <w:bookmarkEnd w:id="15"/>
    </w:p>
    <w:p w:rsidR="00B746EC" w:rsidRDefault="00B746EC" w:rsidP="00916F42">
      <w:pPr>
        <w:pStyle w:val="Ttulo2"/>
        <w:spacing w:before="0"/>
        <w:rPr>
          <w:rStyle w:val="nfasisintenso"/>
          <w:lang w:val="en-US"/>
        </w:rPr>
      </w:pPr>
      <w:bookmarkStart w:id="18" w:name="_Toc245909223"/>
      <w:bookmarkStart w:id="19" w:name="_Toc246149826"/>
    </w:p>
    <w:p w:rsidR="00AE47AE" w:rsidRPr="00B746EC" w:rsidRDefault="00AE47AE" w:rsidP="00B746EC">
      <w:pPr>
        <w:pStyle w:val="Ttulo2"/>
        <w:numPr>
          <w:ilvl w:val="0"/>
          <w:numId w:val="19"/>
        </w:numPr>
        <w:spacing w:before="0"/>
        <w:rPr>
          <w:rStyle w:val="nfasisintenso"/>
          <w:lang w:val="en-US"/>
        </w:rPr>
      </w:pPr>
      <w:bookmarkStart w:id="20" w:name="_Toc254912256"/>
      <w:r w:rsidRPr="00B746EC">
        <w:rPr>
          <w:rStyle w:val="nfasisintenso"/>
          <w:lang w:val="en-US"/>
        </w:rPr>
        <w:t xml:space="preserve">List and Description of </w:t>
      </w:r>
      <w:bookmarkStart w:id="21" w:name="OLE_LINK1"/>
      <w:bookmarkStart w:id="22" w:name="OLE_LINK2"/>
      <w:r w:rsidRPr="00B746EC">
        <w:rPr>
          <w:rStyle w:val="nfasisintenso"/>
          <w:lang w:val="en-US"/>
        </w:rPr>
        <w:t>Data Sources</w:t>
      </w:r>
      <w:bookmarkEnd w:id="18"/>
      <w:bookmarkEnd w:id="19"/>
      <w:r w:rsidRPr="00B746EC">
        <w:rPr>
          <w:rStyle w:val="nfasisintenso"/>
          <w:lang w:val="en-US"/>
        </w:rPr>
        <w:t xml:space="preserve"> Used</w:t>
      </w:r>
      <w:bookmarkEnd w:id="20"/>
      <w:bookmarkEnd w:id="21"/>
      <w:bookmarkEnd w:id="22"/>
    </w:p>
    <w:p w:rsidR="00AE47AE" w:rsidRPr="0097100E" w:rsidRDefault="00AE47AE" w:rsidP="00AE47AE">
      <w:pPr>
        <w:rPr>
          <w:lang w:val="en-US" w:eastAsia="en-US"/>
        </w:rPr>
      </w:pPr>
    </w:p>
    <w:p w:rsidR="00AE47AE" w:rsidRPr="0088722D" w:rsidRDefault="00AE47AE" w:rsidP="00AE47AE">
      <w:pPr>
        <w:spacing w:after="200"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For the purposes of this project, t</w:t>
      </w:r>
      <w:r w:rsidRPr="0088722D">
        <w:rPr>
          <w:rFonts w:ascii="Calibri" w:eastAsia="Calibri" w:hAnsi="Calibri"/>
          <w:bCs/>
          <w:sz w:val="22"/>
          <w:szCs w:val="20"/>
          <w:lang w:val="en-US" w:eastAsia="en-US"/>
        </w:rPr>
        <w:t xml:space="preserve">he main source of </w:t>
      </w:r>
      <w:r>
        <w:rPr>
          <w:rFonts w:ascii="Calibri" w:eastAsia="Calibri" w:hAnsi="Calibri"/>
          <w:bCs/>
          <w:sz w:val="22"/>
          <w:szCs w:val="20"/>
          <w:lang w:val="en-US" w:eastAsia="en-US"/>
        </w:rPr>
        <w:t xml:space="preserve">budget </w:t>
      </w:r>
      <w:r w:rsidRPr="0088722D">
        <w:rPr>
          <w:rFonts w:ascii="Calibri" w:eastAsia="Calibri" w:hAnsi="Calibri"/>
          <w:bCs/>
          <w:sz w:val="22"/>
          <w:szCs w:val="20"/>
          <w:lang w:val="en-US" w:eastAsia="en-US"/>
        </w:rPr>
        <w:t xml:space="preserve">information is the Ministerio de Economía y Finanzas (MEF) who presents through its web page all the information regarding the national budget. This portal is called </w:t>
      </w:r>
      <w:r w:rsidRPr="00B179C9">
        <w:rPr>
          <w:rFonts w:ascii="Calibri" w:eastAsia="Calibri" w:hAnsi="Calibri"/>
          <w:bCs/>
          <w:i/>
          <w:sz w:val="22"/>
          <w:szCs w:val="20"/>
          <w:lang w:val="en-US" w:eastAsia="en-US"/>
        </w:rPr>
        <w:t>Transparencia Económica</w:t>
      </w:r>
      <w:r w:rsidRPr="0088722D">
        <w:rPr>
          <w:rFonts w:ascii="Calibri" w:eastAsia="Calibri" w:hAnsi="Calibri"/>
          <w:bCs/>
          <w:sz w:val="22"/>
          <w:szCs w:val="20"/>
          <w:lang w:val="en-US" w:eastAsia="en-US"/>
        </w:rPr>
        <w:t xml:space="preserve"> and allows the user to explore each account in detail, in order to track financing and spending of each program and government level. Also, the information is updated daily, so it is current to the date of elaboration of this report. </w:t>
      </w:r>
    </w:p>
    <w:p w:rsidR="00AE47AE" w:rsidRPr="00894A4D" w:rsidRDefault="00AE47AE" w:rsidP="00AE47AE">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On the other hand, t</w:t>
      </w:r>
      <w:r w:rsidRPr="00894A4D">
        <w:rPr>
          <w:rFonts w:ascii="Calibri" w:eastAsia="Calibri" w:hAnsi="Calibri"/>
          <w:bCs/>
          <w:sz w:val="22"/>
          <w:szCs w:val="20"/>
          <w:lang w:val="en-US" w:eastAsia="en-US"/>
        </w:rPr>
        <w:t>he ENAHO</w:t>
      </w:r>
      <w:r>
        <w:rPr>
          <w:rFonts w:ascii="Calibri" w:eastAsia="Calibri" w:hAnsi="Calibri"/>
          <w:bCs/>
          <w:sz w:val="22"/>
          <w:szCs w:val="20"/>
          <w:lang w:val="en-US" w:eastAsia="en-US"/>
        </w:rPr>
        <w:t xml:space="preserve"> data set</w:t>
      </w:r>
      <w:r w:rsidRPr="00894A4D">
        <w:rPr>
          <w:rFonts w:ascii="Calibri" w:eastAsia="Calibri" w:hAnsi="Calibri"/>
          <w:bCs/>
          <w:sz w:val="22"/>
          <w:szCs w:val="20"/>
          <w:lang w:val="en-US" w:eastAsia="en-US"/>
        </w:rPr>
        <w:t xml:space="preserve"> is a </w:t>
      </w:r>
      <w:r>
        <w:rPr>
          <w:rFonts w:ascii="Calibri" w:eastAsia="Calibri" w:hAnsi="Calibri"/>
          <w:bCs/>
          <w:sz w:val="22"/>
          <w:szCs w:val="20"/>
          <w:lang w:val="en-US" w:eastAsia="en-US"/>
        </w:rPr>
        <w:t xml:space="preserve">household </w:t>
      </w:r>
      <w:r w:rsidRPr="00894A4D">
        <w:rPr>
          <w:rFonts w:ascii="Calibri" w:eastAsia="Calibri" w:hAnsi="Calibri"/>
          <w:bCs/>
          <w:sz w:val="22"/>
          <w:szCs w:val="20"/>
          <w:lang w:val="en-US" w:eastAsia="en-US"/>
        </w:rPr>
        <w:t xml:space="preserve">survey conducted by the </w:t>
      </w:r>
      <w:r w:rsidR="00080335">
        <w:rPr>
          <w:rFonts w:ascii="Calibri" w:eastAsia="Calibri" w:hAnsi="Calibri"/>
          <w:bCs/>
          <w:sz w:val="22"/>
          <w:szCs w:val="20"/>
          <w:lang w:val="en-US" w:eastAsia="en-US"/>
        </w:rPr>
        <w:t>National Statistics Institute (</w:t>
      </w:r>
      <w:r w:rsidRPr="00894A4D">
        <w:rPr>
          <w:rFonts w:ascii="Calibri" w:eastAsia="Calibri" w:hAnsi="Calibri"/>
          <w:bCs/>
          <w:sz w:val="22"/>
          <w:szCs w:val="20"/>
          <w:lang w:val="en-US" w:eastAsia="en-US"/>
        </w:rPr>
        <w:t>INEI</w:t>
      </w:r>
      <w:r w:rsidR="00080335">
        <w:rPr>
          <w:rFonts w:ascii="Calibri" w:eastAsia="Calibri" w:hAnsi="Calibri"/>
          <w:bCs/>
          <w:sz w:val="22"/>
          <w:szCs w:val="20"/>
          <w:lang w:val="en-US" w:eastAsia="en-US"/>
        </w:rPr>
        <w:t>)</w:t>
      </w:r>
      <w:r w:rsidRPr="00894A4D">
        <w:rPr>
          <w:rFonts w:ascii="Calibri" w:eastAsia="Calibri" w:hAnsi="Calibri"/>
          <w:bCs/>
          <w:sz w:val="22"/>
          <w:szCs w:val="20"/>
          <w:lang w:val="en-US" w:eastAsia="en-US"/>
        </w:rPr>
        <w:t xml:space="preserve"> that has nearly 400 questions. It gathers information at an individual and household level of demographic variables, income, health, expenditures, education, living conditions, housing, social programs, etc. This information is acquired from approximately </w:t>
      </w:r>
      <w:r w:rsidR="00786AEB">
        <w:rPr>
          <w:rFonts w:ascii="Calibri" w:eastAsia="Calibri" w:hAnsi="Calibri"/>
          <w:bCs/>
          <w:sz w:val="22"/>
          <w:szCs w:val="20"/>
          <w:lang w:val="en-US" w:eastAsia="en-US"/>
        </w:rPr>
        <w:t>twenty</w:t>
      </w:r>
      <w:r w:rsidRPr="00894A4D">
        <w:rPr>
          <w:rFonts w:ascii="Calibri" w:eastAsia="Calibri" w:hAnsi="Calibri"/>
          <w:bCs/>
          <w:sz w:val="22"/>
          <w:szCs w:val="20"/>
          <w:lang w:val="en-US" w:eastAsia="en-US"/>
        </w:rPr>
        <w:t xml:space="preserve"> thousand homes and </w:t>
      </w:r>
      <w:r w:rsidR="00530290">
        <w:rPr>
          <w:rFonts w:ascii="Calibri" w:eastAsia="Calibri" w:hAnsi="Calibri"/>
          <w:bCs/>
          <w:sz w:val="22"/>
          <w:szCs w:val="20"/>
          <w:lang w:val="en-US" w:eastAsia="en-US"/>
        </w:rPr>
        <w:t xml:space="preserve">is statistically </w:t>
      </w:r>
      <w:r w:rsidRPr="00894A4D">
        <w:rPr>
          <w:rFonts w:ascii="Calibri" w:eastAsia="Calibri" w:hAnsi="Calibri"/>
          <w:bCs/>
          <w:sz w:val="22"/>
          <w:szCs w:val="20"/>
          <w:lang w:val="en-US" w:eastAsia="en-US"/>
        </w:rPr>
        <w:t>represent</w:t>
      </w:r>
      <w:r w:rsidR="00530290">
        <w:rPr>
          <w:rFonts w:ascii="Calibri" w:eastAsia="Calibri" w:hAnsi="Calibri"/>
          <w:bCs/>
          <w:sz w:val="22"/>
          <w:szCs w:val="20"/>
          <w:lang w:val="en-US" w:eastAsia="en-US"/>
        </w:rPr>
        <w:t xml:space="preserve">ative at </w:t>
      </w:r>
      <w:r w:rsidRPr="00894A4D">
        <w:rPr>
          <w:rFonts w:ascii="Calibri" w:eastAsia="Calibri" w:hAnsi="Calibri"/>
          <w:bCs/>
          <w:sz w:val="22"/>
          <w:szCs w:val="20"/>
          <w:lang w:val="en-US" w:eastAsia="en-US"/>
        </w:rPr>
        <w:t>the department</w:t>
      </w:r>
      <w:r w:rsidR="00530290">
        <w:rPr>
          <w:rFonts w:ascii="Calibri" w:eastAsia="Calibri" w:hAnsi="Calibri"/>
          <w:bCs/>
          <w:sz w:val="22"/>
          <w:szCs w:val="20"/>
          <w:lang w:val="en-US" w:eastAsia="en-US"/>
        </w:rPr>
        <w:t xml:space="preserve"> level</w:t>
      </w:r>
      <w:r w:rsidRPr="00894A4D">
        <w:rPr>
          <w:rFonts w:ascii="Calibri" w:eastAsia="Calibri" w:hAnsi="Calibri"/>
          <w:bCs/>
          <w:sz w:val="22"/>
          <w:szCs w:val="20"/>
          <w:lang w:val="en-US" w:eastAsia="en-US"/>
        </w:rPr>
        <w:t xml:space="preserve">. However, it is not representative </w:t>
      </w:r>
      <w:r w:rsidR="00786AEB">
        <w:rPr>
          <w:rFonts w:ascii="Calibri" w:eastAsia="Calibri" w:hAnsi="Calibri"/>
          <w:bCs/>
          <w:sz w:val="22"/>
          <w:szCs w:val="20"/>
          <w:lang w:val="en-US" w:eastAsia="en-US"/>
        </w:rPr>
        <w:t>at</w:t>
      </w:r>
      <w:r w:rsidRPr="00894A4D">
        <w:rPr>
          <w:rFonts w:ascii="Calibri" w:eastAsia="Calibri" w:hAnsi="Calibri"/>
          <w:bCs/>
          <w:sz w:val="22"/>
          <w:szCs w:val="20"/>
          <w:lang w:val="en-US" w:eastAsia="en-US"/>
        </w:rPr>
        <w:t xml:space="preserve"> lower levels of organization. All</w:t>
      </w:r>
      <w:r w:rsidR="00A61220">
        <w:rPr>
          <w:rFonts w:ascii="Calibri" w:eastAsia="Calibri" w:hAnsi="Calibri"/>
          <w:bCs/>
          <w:sz w:val="22"/>
          <w:szCs w:val="20"/>
          <w:lang w:val="en-US" w:eastAsia="en-US"/>
        </w:rPr>
        <w:t xml:space="preserve"> individuals</w:t>
      </w:r>
      <w:r w:rsidRPr="00894A4D">
        <w:rPr>
          <w:rFonts w:ascii="Calibri" w:eastAsia="Calibri" w:hAnsi="Calibri"/>
          <w:bCs/>
          <w:sz w:val="22"/>
          <w:szCs w:val="20"/>
          <w:lang w:val="en-US" w:eastAsia="en-US"/>
        </w:rPr>
        <w:t xml:space="preserve"> older than 14 years in the home are required to answer the questio</w:t>
      </w:r>
      <w:r w:rsidR="00A61220">
        <w:rPr>
          <w:rFonts w:ascii="Calibri" w:eastAsia="Calibri" w:hAnsi="Calibri"/>
          <w:bCs/>
          <w:sz w:val="22"/>
          <w:szCs w:val="20"/>
          <w:lang w:val="en-US" w:eastAsia="en-US"/>
        </w:rPr>
        <w:t>n</w:t>
      </w:r>
      <w:r w:rsidRPr="00894A4D">
        <w:rPr>
          <w:rFonts w:ascii="Calibri" w:eastAsia="Calibri" w:hAnsi="Calibri"/>
          <w:bCs/>
          <w:sz w:val="22"/>
          <w:szCs w:val="20"/>
          <w:lang w:val="en-US" w:eastAsia="en-US"/>
        </w:rPr>
        <w:t>n</w:t>
      </w:r>
      <w:r w:rsidR="00A61220">
        <w:rPr>
          <w:rFonts w:ascii="Calibri" w:eastAsia="Calibri" w:hAnsi="Calibri"/>
          <w:bCs/>
          <w:sz w:val="22"/>
          <w:szCs w:val="20"/>
          <w:lang w:val="en-US" w:eastAsia="en-US"/>
        </w:rPr>
        <w:t>aire</w:t>
      </w:r>
      <w:r w:rsidRPr="00894A4D">
        <w:rPr>
          <w:rFonts w:ascii="Calibri" w:eastAsia="Calibri" w:hAnsi="Calibri"/>
          <w:bCs/>
          <w:sz w:val="22"/>
          <w:szCs w:val="20"/>
          <w:lang w:val="en-US" w:eastAsia="en-US"/>
        </w:rPr>
        <w:t>.</w:t>
      </w:r>
      <w:r>
        <w:rPr>
          <w:rFonts w:ascii="Calibri" w:eastAsia="Calibri" w:hAnsi="Calibri"/>
          <w:bCs/>
          <w:sz w:val="22"/>
          <w:szCs w:val="20"/>
          <w:lang w:val="en-US" w:eastAsia="en-US"/>
        </w:rPr>
        <w:t xml:space="preserve"> </w:t>
      </w:r>
      <w:r w:rsidRPr="00894A4D">
        <w:rPr>
          <w:rFonts w:ascii="Calibri" w:eastAsia="Calibri" w:hAnsi="Calibri"/>
          <w:bCs/>
          <w:sz w:val="22"/>
          <w:szCs w:val="20"/>
          <w:lang w:val="en-US" w:eastAsia="en-US"/>
        </w:rPr>
        <w:t xml:space="preserve">One of the benefits is that this information is public and </w:t>
      </w:r>
      <w:r w:rsidR="00A61220">
        <w:rPr>
          <w:rFonts w:ascii="Calibri" w:eastAsia="Calibri" w:hAnsi="Calibri"/>
          <w:bCs/>
          <w:sz w:val="22"/>
          <w:szCs w:val="20"/>
          <w:lang w:val="en-US" w:eastAsia="en-US"/>
        </w:rPr>
        <w:t xml:space="preserve">it </w:t>
      </w:r>
      <w:r w:rsidRPr="00894A4D">
        <w:rPr>
          <w:rFonts w:ascii="Calibri" w:eastAsia="Calibri" w:hAnsi="Calibri"/>
          <w:bCs/>
          <w:sz w:val="22"/>
          <w:szCs w:val="20"/>
          <w:lang w:val="en-US" w:eastAsia="en-US"/>
        </w:rPr>
        <w:t xml:space="preserve">is </w:t>
      </w:r>
      <w:r w:rsidR="00A61220">
        <w:rPr>
          <w:rFonts w:ascii="Calibri" w:eastAsia="Calibri" w:hAnsi="Calibri"/>
          <w:bCs/>
          <w:sz w:val="22"/>
          <w:szCs w:val="20"/>
          <w:lang w:val="en-US" w:eastAsia="en-US"/>
        </w:rPr>
        <w:t xml:space="preserve">freely </w:t>
      </w:r>
      <w:r w:rsidRPr="00894A4D">
        <w:rPr>
          <w:rFonts w:ascii="Calibri" w:eastAsia="Calibri" w:hAnsi="Calibri"/>
          <w:bCs/>
          <w:sz w:val="22"/>
          <w:szCs w:val="20"/>
          <w:lang w:val="en-US" w:eastAsia="en-US"/>
        </w:rPr>
        <w:t>available th</w:t>
      </w:r>
      <w:r>
        <w:rPr>
          <w:rFonts w:ascii="Calibri" w:eastAsia="Calibri" w:hAnsi="Calibri"/>
          <w:bCs/>
          <w:sz w:val="22"/>
          <w:szCs w:val="20"/>
          <w:lang w:val="en-US" w:eastAsia="en-US"/>
        </w:rPr>
        <w:t>r</w:t>
      </w:r>
      <w:r w:rsidRPr="00894A4D">
        <w:rPr>
          <w:rFonts w:ascii="Calibri" w:eastAsia="Calibri" w:hAnsi="Calibri"/>
          <w:bCs/>
          <w:sz w:val="22"/>
          <w:szCs w:val="20"/>
          <w:lang w:val="en-US" w:eastAsia="en-US"/>
        </w:rPr>
        <w:t>ough the INEI’s web page</w:t>
      </w:r>
      <w:r w:rsidRPr="008E0453">
        <w:rPr>
          <w:rFonts w:ascii="Calibri" w:eastAsia="Calibri" w:hAnsi="Calibri"/>
          <w:bCs/>
          <w:sz w:val="22"/>
          <w:szCs w:val="20"/>
          <w:vertAlign w:val="superscript"/>
          <w:lang w:val="en-US" w:eastAsia="en-US"/>
        </w:rPr>
        <w:footnoteReference w:id="2"/>
      </w:r>
      <w:r w:rsidRPr="00894A4D">
        <w:rPr>
          <w:rFonts w:ascii="Calibri" w:eastAsia="Calibri" w:hAnsi="Calibri"/>
          <w:bCs/>
          <w:sz w:val="22"/>
          <w:szCs w:val="20"/>
          <w:lang w:val="en-US" w:eastAsia="en-US"/>
        </w:rPr>
        <w:t xml:space="preserve">. For this paper, the modules consulted were the first (Characteristics of the Housing and Household) and the fifth </w:t>
      </w:r>
      <w:r w:rsidR="00A61220">
        <w:rPr>
          <w:rFonts w:ascii="Calibri" w:eastAsia="Calibri" w:hAnsi="Calibri"/>
          <w:bCs/>
          <w:sz w:val="22"/>
          <w:szCs w:val="20"/>
          <w:lang w:val="en-US" w:eastAsia="en-US"/>
        </w:rPr>
        <w:t xml:space="preserve">ones </w:t>
      </w:r>
      <w:r w:rsidRPr="00894A4D">
        <w:rPr>
          <w:rFonts w:ascii="Calibri" w:eastAsia="Calibri" w:hAnsi="Calibri"/>
          <w:bCs/>
          <w:sz w:val="22"/>
          <w:szCs w:val="20"/>
          <w:lang w:val="en-US" w:eastAsia="en-US"/>
        </w:rPr>
        <w:t>(Employment and Income).</w:t>
      </w:r>
    </w:p>
    <w:p w:rsidR="009249EA" w:rsidRPr="00C472D2" w:rsidRDefault="009249EA" w:rsidP="009249EA">
      <w:pPr>
        <w:pStyle w:val="Ttulo1"/>
        <w:keepLines/>
        <w:spacing w:before="0" w:after="0" w:line="276" w:lineRule="auto"/>
        <w:rPr>
          <w:rStyle w:val="nfasisintenso"/>
          <w:rFonts w:ascii="Times New Roman" w:hAnsi="Times New Roman"/>
          <w:sz w:val="24"/>
          <w:szCs w:val="24"/>
          <w:lang w:val="en-US"/>
        </w:rPr>
      </w:pPr>
    </w:p>
    <w:p w:rsidR="00AE47AE" w:rsidRPr="00B746EC" w:rsidRDefault="00AE47AE" w:rsidP="00B746EC">
      <w:pPr>
        <w:pStyle w:val="Ttulo2"/>
        <w:numPr>
          <w:ilvl w:val="0"/>
          <w:numId w:val="19"/>
        </w:numPr>
        <w:spacing w:before="0"/>
        <w:rPr>
          <w:rStyle w:val="nfasisintenso"/>
          <w:lang w:val="en-US"/>
        </w:rPr>
      </w:pPr>
      <w:bookmarkStart w:id="23" w:name="_Toc254912257"/>
      <w:r w:rsidRPr="00B746EC">
        <w:rPr>
          <w:rStyle w:val="nfasisintenso"/>
          <w:lang w:val="en-US"/>
        </w:rPr>
        <w:t>Methodology</w:t>
      </w:r>
      <w:bookmarkEnd w:id="23"/>
    </w:p>
    <w:p w:rsidR="00AE47AE" w:rsidRDefault="00AE47AE" w:rsidP="00AE47AE">
      <w:pPr>
        <w:rPr>
          <w:rFonts w:eastAsia="Calibri"/>
          <w:lang w:val="en-US" w:eastAsia="en-US"/>
        </w:rPr>
      </w:pPr>
    </w:p>
    <w:p w:rsidR="004C4732"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 xml:space="preserve">In order to prepare the following tables required by the study, a first step is to define what will be considered as the relevant subsidies and expenditures. </w:t>
      </w:r>
      <w:r w:rsidR="004C4732">
        <w:rPr>
          <w:rFonts w:ascii="Calibri" w:eastAsia="Calibri" w:hAnsi="Calibri"/>
          <w:bCs/>
          <w:sz w:val="22"/>
          <w:szCs w:val="20"/>
          <w:lang w:val="en-US" w:eastAsia="en-US"/>
        </w:rPr>
        <w:t>The subsidy in this sector can come from different sources. It could be cheaper access for those that already have some water provision. It could also take the form of increasing the population served thanks to some government program. Finally, it could be represented as an increase in the quality for those families that already had a source of water. In all cases, we are thinking about the subsidy attached to a particular household.</w:t>
      </w:r>
    </w:p>
    <w:p w:rsidR="004C4732" w:rsidRDefault="004C4732" w:rsidP="00497BAB">
      <w:pPr>
        <w:spacing w:line="276" w:lineRule="auto"/>
        <w:jc w:val="both"/>
        <w:rPr>
          <w:rFonts w:ascii="Calibri" w:eastAsia="Calibri" w:hAnsi="Calibri"/>
          <w:bCs/>
          <w:sz w:val="22"/>
          <w:szCs w:val="20"/>
          <w:lang w:val="en-US" w:eastAsia="en-US"/>
        </w:rPr>
      </w:pPr>
    </w:p>
    <w:p w:rsidR="00AE47AE" w:rsidRPr="00B61623" w:rsidRDefault="004C4732" w:rsidP="00497BAB">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For this study is</w:t>
      </w:r>
      <w:r w:rsidR="00AE47AE" w:rsidRPr="00B61623">
        <w:rPr>
          <w:rFonts w:ascii="Calibri" w:eastAsia="Calibri" w:hAnsi="Calibri"/>
          <w:bCs/>
          <w:sz w:val="22"/>
          <w:szCs w:val="20"/>
          <w:lang w:val="en-US" w:eastAsia="en-US"/>
        </w:rPr>
        <w:t xml:space="preserve"> important </w:t>
      </w:r>
      <w:r>
        <w:rPr>
          <w:rFonts w:ascii="Calibri" w:eastAsia="Calibri" w:hAnsi="Calibri"/>
          <w:bCs/>
          <w:sz w:val="22"/>
          <w:szCs w:val="20"/>
          <w:lang w:val="en-US" w:eastAsia="en-US"/>
        </w:rPr>
        <w:t xml:space="preserve">to consider </w:t>
      </w:r>
      <w:r w:rsidR="00AE47AE" w:rsidRPr="00B61623">
        <w:rPr>
          <w:rFonts w:ascii="Calibri" w:eastAsia="Calibri" w:hAnsi="Calibri"/>
          <w:bCs/>
          <w:sz w:val="22"/>
          <w:szCs w:val="20"/>
          <w:lang w:val="en-US" w:eastAsia="en-US"/>
        </w:rPr>
        <w:t xml:space="preserve">the fact that the current </w:t>
      </w:r>
      <w:r>
        <w:rPr>
          <w:rFonts w:ascii="Calibri" w:eastAsia="Calibri" w:hAnsi="Calibri"/>
          <w:bCs/>
          <w:sz w:val="22"/>
          <w:szCs w:val="20"/>
          <w:lang w:val="en-US" w:eastAsia="en-US"/>
        </w:rPr>
        <w:t xml:space="preserve">tariff </w:t>
      </w:r>
      <w:r w:rsidR="00AE47AE" w:rsidRPr="00B61623">
        <w:rPr>
          <w:rFonts w:ascii="Calibri" w:eastAsia="Calibri" w:hAnsi="Calibri"/>
          <w:bCs/>
          <w:sz w:val="22"/>
          <w:szCs w:val="20"/>
          <w:lang w:val="en-US" w:eastAsia="en-US"/>
        </w:rPr>
        <w:t xml:space="preserve">structure of the sector </w:t>
      </w:r>
      <w:r>
        <w:rPr>
          <w:rFonts w:ascii="Calibri" w:eastAsia="Calibri" w:hAnsi="Calibri"/>
          <w:bCs/>
          <w:sz w:val="22"/>
          <w:szCs w:val="20"/>
          <w:lang w:val="en-US" w:eastAsia="en-US"/>
        </w:rPr>
        <w:t xml:space="preserve">aims to be </w:t>
      </w:r>
      <w:r w:rsidR="00AE47AE" w:rsidRPr="00B61623">
        <w:rPr>
          <w:rFonts w:ascii="Calibri" w:eastAsia="Calibri" w:hAnsi="Calibri"/>
          <w:bCs/>
          <w:sz w:val="22"/>
          <w:szCs w:val="20"/>
          <w:lang w:val="en-US" w:eastAsia="en-US"/>
        </w:rPr>
        <w:t xml:space="preserve">self-sustainable. Therefore, </w:t>
      </w:r>
      <w:r>
        <w:rPr>
          <w:rFonts w:ascii="Calibri" w:eastAsia="Calibri" w:hAnsi="Calibri"/>
          <w:bCs/>
          <w:sz w:val="22"/>
          <w:szCs w:val="20"/>
          <w:lang w:val="en-US" w:eastAsia="en-US"/>
        </w:rPr>
        <w:t xml:space="preserve">the net subsidy is zero as the </w:t>
      </w:r>
      <w:r w:rsidR="00AE47AE" w:rsidRPr="00B61623">
        <w:rPr>
          <w:rFonts w:ascii="Calibri" w:eastAsia="Calibri" w:hAnsi="Calibri"/>
          <w:bCs/>
          <w:sz w:val="22"/>
          <w:szCs w:val="20"/>
          <w:lang w:val="en-US" w:eastAsia="en-US"/>
        </w:rPr>
        <w:t>tariffs charged are design</w:t>
      </w:r>
      <w:r>
        <w:rPr>
          <w:rFonts w:ascii="Calibri" w:eastAsia="Calibri" w:hAnsi="Calibri"/>
          <w:bCs/>
          <w:sz w:val="22"/>
          <w:szCs w:val="20"/>
          <w:lang w:val="en-US" w:eastAsia="en-US"/>
        </w:rPr>
        <w:t xml:space="preserve">ed including </w:t>
      </w:r>
      <w:r w:rsidR="00AE47AE" w:rsidRPr="00B61623">
        <w:rPr>
          <w:rFonts w:ascii="Calibri" w:eastAsia="Calibri" w:hAnsi="Calibri"/>
          <w:bCs/>
          <w:sz w:val="22"/>
          <w:szCs w:val="20"/>
          <w:lang w:val="en-US" w:eastAsia="en-US"/>
        </w:rPr>
        <w:t xml:space="preserve">cross subsidies between consumers </w:t>
      </w:r>
      <w:r>
        <w:rPr>
          <w:rFonts w:ascii="Calibri" w:eastAsia="Calibri" w:hAnsi="Calibri"/>
          <w:bCs/>
          <w:sz w:val="22"/>
          <w:szCs w:val="20"/>
          <w:lang w:val="en-US" w:eastAsia="en-US"/>
        </w:rPr>
        <w:t xml:space="preserve">but maintaining the assumption </w:t>
      </w:r>
      <w:r w:rsidR="00AE47AE" w:rsidRPr="00B61623">
        <w:rPr>
          <w:rFonts w:ascii="Calibri" w:eastAsia="Calibri" w:hAnsi="Calibri"/>
          <w:bCs/>
          <w:sz w:val="22"/>
          <w:szCs w:val="20"/>
          <w:lang w:val="en-US" w:eastAsia="en-US"/>
        </w:rPr>
        <w:t>that the EPS do not need government intervention to cover their costs.</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C</w:t>
      </w:r>
      <w:r w:rsidRPr="00B61623">
        <w:rPr>
          <w:rFonts w:ascii="Calibri" w:eastAsia="Calibri" w:hAnsi="Calibri"/>
          <w:bCs/>
          <w:sz w:val="22"/>
          <w:szCs w:val="20"/>
          <w:lang w:val="en-US" w:eastAsia="en-US"/>
        </w:rPr>
        <w:t xml:space="preserve">onsequently, the subsidies are not in the operation of the companies or the investments they make financed by users. However, the State does play an important </w:t>
      </w:r>
      <w:r w:rsidR="00677CFA" w:rsidRPr="00B61623">
        <w:rPr>
          <w:rFonts w:ascii="Calibri" w:eastAsia="Calibri" w:hAnsi="Calibri"/>
          <w:bCs/>
          <w:sz w:val="22"/>
          <w:szCs w:val="20"/>
          <w:lang w:val="en-US" w:eastAsia="en-US"/>
        </w:rPr>
        <w:t>role</w:t>
      </w:r>
      <w:r w:rsidRPr="00B61623">
        <w:rPr>
          <w:rFonts w:ascii="Calibri" w:eastAsia="Calibri" w:hAnsi="Calibri"/>
          <w:bCs/>
          <w:sz w:val="22"/>
          <w:szCs w:val="20"/>
          <w:lang w:val="en-US" w:eastAsia="en-US"/>
        </w:rPr>
        <w:t xml:space="preserve"> in the expansion of the infrastructure and in </w:t>
      </w:r>
      <w:r w:rsidR="0048528B">
        <w:rPr>
          <w:rFonts w:ascii="Calibri" w:eastAsia="Calibri" w:hAnsi="Calibri"/>
          <w:bCs/>
          <w:sz w:val="22"/>
          <w:szCs w:val="20"/>
          <w:lang w:val="en-US" w:eastAsia="en-US"/>
        </w:rPr>
        <w:t xml:space="preserve">training the </w:t>
      </w:r>
      <w:r w:rsidRPr="00B61623">
        <w:rPr>
          <w:rFonts w:ascii="Calibri" w:eastAsia="Calibri" w:hAnsi="Calibri"/>
          <w:bCs/>
          <w:sz w:val="22"/>
          <w:szCs w:val="20"/>
          <w:lang w:val="en-US" w:eastAsia="en-US"/>
        </w:rPr>
        <w:t xml:space="preserve">personnel in charge of this sector, both from the supervision and execution side.  </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Many projects are financed entirely by the government or receive some kind of help from it. They can expand the responsibilities of an EPS or invest in public connections to reach population in rural areas. The program that has this function is called “Agua para Todos”, which includes many subprograms.</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 xml:space="preserve">Also, due to the fact that projects in the sanitation sector take longer than one year in order to be completed, the timeline used for the evaluation of the subsidy is August 2006 to October 2009. This is due to the fact that many of them started in August and several of them are still ongoing as of October 2009. </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 xml:space="preserve">In order to establish the differences between private and public connection investments subsidized by the state, it is necessary to divide this program in its different components, because each of them has a different function. For example, PRONASAR which was discussed in the first section had the objective of investing mainly in public connections for rural areas. </w:t>
      </w:r>
    </w:p>
    <w:p w:rsidR="00AE47AE" w:rsidRPr="00B61623" w:rsidRDefault="00AE47AE" w:rsidP="00AE47AE">
      <w:pPr>
        <w:jc w:val="both"/>
        <w:rPr>
          <w:rFonts w:ascii="Calibri" w:eastAsia="Calibri" w:hAnsi="Calibri"/>
          <w:bCs/>
          <w:sz w:val="22"/>
          <w:szCs w:val="20"/>
          <w:lang w:val="en-US" w:eastAsia="en-US"/>
        </w:rPr>
      </w:pPr>
    </w:p>
    <w:p w:rsidR="00AE47AE" w:rsidRPr="00366C76" w:rsidRDefault="00AE47AE" w:rsidP="00AE47AE">
      <w:pPr>
        <w:pStyle w:val="Epgrafe"/>
        <w:jc w:val="center"/>
        <w:rPr>
          <w:rFonts w:ascii="Calibri" w:eastAsia="Calibri" w:hAnsi="Calibri"/>
          <w:color w:val="4F81BD"/>
          <w:sz w:val="22"/>
          <w:szCs w:val="22"/>
          <w:lang w:val="en-US" w:eastAsia="en-US"/>
        </w:rPr>
      </w:pPr>
      <w:r w:rsidRPr="00366C76">
        <w:rPr>
          <w:rFonts w:ascii="Calibri" w:eastAsia="Calibri" w:hAnsi="Calibri"/>
          <w:color w:val="4F81BD"/>
          <w:sz w:val="22"/>
          <w:szCs w:val="22"/>
          <w:lang w:val="en-US" w:eastAsia="en-US"/>
        </w:rPr>
        <w:t>Figure</w:t>
      </w:r>
      <w:r>
        <w:rPr>
          <w:rFonts w:ascii="Calibri" w:eastAsia="Calibri" w:hAnsi="Calibri"/>
          <w:color w:val="4F81BD"/>
          <w:sz w:val="22"/>
          <w:szCs w:val="22"/>
          <w:lang w:val="en-US" w:eastAsia="en-US"/>
        </w:rPr>
        <w:t xml:space="preserve"> </w:t>
      </w:r>
      <w:r w:rsidR="008C22CF">
        <w:rPr>
          <w:rFonts w:ascii="Calibri" w:eastAsia="Calibri" w:hAnsi="Calibri"/>
          <w:color w:val="4F81BD"/>
          <w:sz w:val="22"/>
          <w:szCs w:val="22"/>
          <w:lang w:val="en-US" w:eastAsia="en-US"/>
        </w:rPr>
        <w:t>14</w:t>
      </w:r>
      <w:r w:rsidRPr="00366C76">
        <w:rPr>
          <w:rFonts w:ascii="Calibri" w:eastAsia="Calibri" w:hAnsi="Calibri"/>
          <w:color w:val="4F81BD"/>
          <w:sz w:val="22"/>
          <w:szCs w:val="22"/>
          <w:lang w:val="en-US" w:eastAsia="en-US"/>
        </w:rPr>
        <w:t>:</w:t>
      </w:r>
      <w:r w:rsidRPr="00366C76">
        <w:rPr>
          <w:rFonts w:ascii="Calibri" w:eastAsia="Calibri" w:hAnsi="Calibri"/>
          <w:bCs w:val="0"/>
          <w:sz w:val="22"/>
          <w:szCs w:val="22"/>
          <w:lang w:val="en-US" w:eastAsia="en-US"/>
        </w:rPr>
        <w:t xml:space="preserve"> </w:t>
      </w:r>
      <w:r w:rsidRPr="00366C76">
        <w:rPr>
          <w:rFonts w:ascii="Calibri" w:eastAsia="Calibri" w:hAnsi="Calibri"/>
          <w:color w:val="4F81BD"/>
          <w:sz w:val="22"/>
          <w:szCs w:val="22"/>
          <w:lang w:val="en-US" w:eastAsia="en-US"/>
        </w:rPr>
        <w:t>Composition of the Agua Para Todos Program (August 2006 to October 2009)</w:t>
      </w:r>
    </w:p>
    <w:p w:rsidR="00AE47AE" w:rsidRPr="00B61623" w:rsidRDefault="00786AEB" w:rsidP="00AE47AE">
      <w:pPr>
        <w:jc w:val="center"/>
        <w:rPr>
          <w:rFonts w:ascii="Calibri" w:eastAsia="Calibri" w:hAnsi="Calibri"/>
          <w:bCs/>
          <w:sz w:val="22"/>
          <w:szCs w:val="20"/>
          <w:lang w:val="en-US" w:eastAsia="en-US"/>
        </w:rPr>
      </w:pPr>
      <w:r>
        <w:rPr>
          <w:rFonts w:ascii="Calibri" w:eastAsia="Calibri" w:hAnsi="Calibri"/>
          <w:noProof/>
          <w:sz w:val="22"/>
          <w:szCs w:val="20"/>
          <w:lang w:val="es-PE" w:eastAsia="es-PE"/>
        </w:rPr>
        <w:drawing>
          <wp:inline distT="0" distB="0" distL="0" distR="0">
            <wp:extent cx="3942080" cy="1527175"/>
            <wp:effectExtent l="19050" t="0" r="1270" b="0"/>
            <wp:docPr id="2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28"/>
                    <a:srcRect l="1985" r="1241" b="3517"/>
                    <a:stretch>
                      <a:fillRect/>
                    </a:stretch>
                  </pic:blipFill>
                  <pic:spPr bwMode="auto">
                    <a:xfrm>
                      <a:off x="0" y="0"/>
                      <a:ext cx="3942080" cy="1527175"/>
                    </a:xfrm>
                    <a:prstGeom prst="rect">
                      <a:avLst/>
                    </a:prstGeom>
                    <a:noFill/>
                    <a:ln w="9525">
                      <a:noFill/>
                      <a:miter lim="800000"/>
                      <a:headEnd/>
                      <a:tailEnd/>
                    </a:ln>
                  </pic:spPr>
                </pic:pic>
              </a:graphicData>
            </a:graphic>
          </wp:inline>
        </w:drawing>
      </w:r>
    </w:p>
    <w:p w:rsidR="00AE47AE" w:rsidRPr="00B61623" w:rsidRDefault="00AE47AE" w:rsidP="00AE47AE">
      <w:pPr>
        <w:ind w:firstLine="708"/>
        <w:jc w:val="both"/>
        <w:rPr>
          <w:rFonts w:ascii="Calibri" w:eastAsia="Calibri" w:hAnsi="Calibri"/>
          <w:bCs/>
          <w:sz w:val="16"/>
          <w:szCs w:val="16"/>
          <w:lang w:val="en-US" w:eastAsia="en-US"/>
        </w:rPr>
      </w:pPr>
      <w:r w:rsidRPr="00B61623">
        <w:rPr>
          <w:rFonts w:ascii="Calibri" w:eastAsia="Calibri" w:hAnsi="Calibri"/>
          <w:bCs/>
          <w:sz w:val="16"/>
          <w:szCs w:val="16"/>
          <w:lang w:val="en-US" w:eastAsia="en-US"/>
        </w:rPr>
        <w:t>Source: MVCS</w:t>
      </w:r>
    </w:p>
    <w:p w:rsidR="00AE47AE" w:rsidRPr="00B61623" w:rsidRDefault="00AE47AE" w:rsidP="00AE47AE">
      <w:pPr>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That is why the methodology consist</w:t>
      </w:r>
      <w:r w:rsidR="00541886">
        <w:rPr>
          <w:rFonts w:ascii="Calibri" w:eastAsia="Calibri" w:hAnsi="Calibri"/>
          <w:bCs/>
          <w:sz w:val="22"/>
          <w:szCs w:val="20"/>
          <w:lang w:val="en-US" w:eastAsia="en-US"/>
        </w:rPr>
        <w:t>e</w:t>
      </w:r>
      <w:r w:rsidRPr="00B61623">
        <w:rPr>
          <w:rFonts w:ascii="Calibri" w:eastAsia="Calibri" w:hAnsi="Calibri"/>
          <w:bCs/>
          <w:sz w:val="22"/>
          <w:szCs w:val="20"/>
          <w:lang w:val="en-US" w:eastAsia="en-US"/>
        </w:rPr>
        <w:t>d in revising each of t</w:t>
      </w:r>
      <w:r w:rsidR="00541886">
        <w:rPr>
          <w:rFonts w:ascii="Calibri" w:eastAsia="Calibri" w:hAnsi="Calibri"/>
          <w:bCs/>
          <w:sz w:val="22"/>
          <w:szCs w:val="20"/>
          <w:lang w:val="en-US" w:eastAsia="en-US"/>
        </w:rPr>
        <w:t>he program</w:t>
      </w:r>
      <w:r w:rsidRPr="00B61623">
        <w:rPr>
          <w:rFonts w:ascii="Calibri" w:eastAsia="Calibri" w:hAnsi="Calibri"/>
          <w:bCs/>
          <w:sz w:val="22"/>
          <w:szCs w:val="20"/>
          <w:lang w:val="en-US" w:eastAsia="en-US"/>
        </w:rPr>
        <w:t xml:space="preserve"> components and evaluate whether or not it was linked to projects of public or private connection. This would allow obtaining an estimate of the cost per type of connection made by the state, which due to the fact that it was completely covered by the government, it would constitute the subsidy.</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The next step was to determine the level of water usage. This posed a problem due to the fact that the household data sources record only the expenditure in water services, but not the quantity. In this case, the Encuesta Nacional de Hogares (ENAHO) was used.</w:t>
      </w:r>
    </w:p>
    <w:p w:rsidR="00AE47AE"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 xml:space="preserve">Therefore, the solution consisted in </w:t>
      </w:r>
      <w:r w:rsidR="00541886">
        <w:rPr>
          <w:rFonts w:ascii="Calibri" w:eastAsia="Calibri" w:hAnsi="Calibri"/>
          <w:bCs/>
          <w:sz w:val="22"/>
          <w:szCs w:val="20"/>
          <w:lang w:val="en-US" w:eastAsia="en-US"/>
        </w:rPr>
        <w:t>several steps: the first one was to separate</w:t>
      </w:r>
      <w:r w:rsidRPr="00B61623">
        <w:rPr>
          <w:rFonts w:ascii="Calibri" w:eastAsia="Calibri" w:hAnsi="Calibri"/>
          <w:bCs/>
          <w:sz w:val="22"/>
          <w:szCs w:val="20"/>
          <w:lang w:val="en-US" w:eastAsia="en-US"/>
        </w:rPr>
        <w:t xml:space="preserve"> the da</w:t>
      </w:r>
      <w:r w:rsidR="00541886">
        <w:rPr>
          <w:rFonts w:ascii="Calibri" w:eastAsia="Calibri" w:hAnsi="Calibri"/>
          <w:bCs/>
          <w:sz w:val="22"/>
          <w:szCs w:val="20"/>
          <w:lang w:val="en-US" w:eastAsia="en-US"/>
        </w:rPr>
        <w:t>ta by departments (regions). Each</w:t>
      </w:r>
      <w:r w:rsidRPr="00B61623">
        <w:rPr>
          <w:rFonts w:ascii="Calibri" w:eastAsia="Calibri" w:hAnsi="Calibri"/>
          <w:bCs/>
          <w:sz w:val="22"/>
          <w:szCs w:val="20"/>
          <w:lang w:val="en-US" w:eastAsia="en-US"/>
        </w:rPr>
        <w:t xml:space="preserve"> EPS operate in a geographical area, within a department, s</w:t>
      </w:r>
      <w:r w:rsidR="00541886">
        <w:rPr>
          <w:rFonts w:ascii="Calibri" w:eastAsia="Calibri" w:hAnsi="Calibri"/>
          <w:bCs/>
          <w:sz w:val="22"/>
          <w:szCs w:val="20"/>
          <w:lang w:val="en-US" w:eastAsia="en-US"/>
        </w:rPr>
        <w:t>o the next step was analyze</w:t>
      </w:r>
      <w:r w:rsidRPr="00B61623">
        <w:rPr>
          <w:rFonts w:ascii="Calibri" w:eastAsia="Calibri" w:hAnsi="Calibri"/>
          <w:bCs/>
          <w:sz w:val="22"/>
          <w:szCs w:val="20"/>
          <w:lang w:val="en-US" w:eastAsia="en-US"/>
        </w:rPr>
        <w:t xml:space="preserve"> the price structure of each EPS. In the cases that more than one EPS worked in the same department, </w:t>
      </w:r>
      <w:r w:rsidR="00541886">
        <w:rPr>
          <w:rFonts w:ascii="Calibri" w:eastAsia="Calibri" w:hAnsi="Calibri"/>
          <w:bCs/>
          <w:sz w:val="22"/>
          <w:szCs w:val="20"/>
          <w:lang w:val="en-US" w:eastAsia="en-US"/>
        </w:rPr>
        <w:t xml:space="preserve">we constructed </w:t>
      </w:r>
      <w:r w:rsidRPr="00B61623">
        <w:rPr>
          <w:rFonts w:ascii="Calibri" w:eastAsia="Calibri" w:hAnsi="Calibri"/>
          <w:bCs/>
          <w:sz w:val="22"/>
          <w:szCs w:val="20"/>
          <w:lang w:val="en-US" w:eastAsia="en-US"/>
        </w:rPr>
        <w:t>an average price weighted by the number of connections of the EPS.</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 xml:space="preserve">The complication was that there are 50 EPS and many of them have price structures that vary according to the </w:t>
      </w:r>
      <w:r w:rsidR="00541886">
        <w:rPr>
          <w:rFonts w:ascii="Calibri" w:eastAsia="Calibri" w:hAnsi="Calibri"/>
          <w:bCs/>
          <w:sz w:val="22"/>
          <w:szCs w:val="20"/>
          <w:lang w:val="en-US" w:eastAsia="en-US"/>
        </w:rPr>
        <w:t xml:space="preserve">consumption </w:t>
      </w:r>
      <w:r w:rsidRPr="00B61623">
        <w:rPr>
          <w:rFonts w:ascii="Calibri" w:eastAsia="Calibri" w:hAnsi="Calibri"/>
          <w:bCs/>
          <w:sz w:val="22"/>
          <w:szCs w:val="20"/>
          <w:lang w:val="en-US" w:eastAsia="en-US"/>
        </w:rPr>
        <w:t>leve</w:t>
      </w:r>
      <w:r w:rsidR="00541886">
        <w:rPr>
          <w:rFonts w:ascii="Calibri" w:eastAsia="Calibri" w:hAnsi="Calibri"/>
          <w:bCs/>
          <w:sz w:val="22"/>
          <w:szCs w:val="20"/>
          <w:lang w:val="en-US" w:eastAsia="en-US"/>
        </w:rPr>
        <w:t>l</w:t>
      </w:r>
      <w:r w:rsidRPr="00B61623">
        <w:rPr>
          <w:rFonts w:ascii="Calibri" w:eastAsia="Calibri" w:hAnsi="Calibri"/>
          <w:bCs/>
          <w:sz w:val="22"/>
          <w:szCs w:val="20"/>
          <w:lang w:val="en-US" w:eastAsia="en-US"/>
        </w:rPr>
        <w:t>. F</w:t>
      </w:r>
      <w:r w:rsidR="00541886">
        <w:rPr>
          <w:rFonts w:ascii="Calibri" w:eastAsia="Calibri" w:hAnsi="Calibri"/>
          <w:bCs/>
          <w:sz w:val="22"/>
          <w:szCs w:val="20"/>
          <w:lang w:val="en-US" w:eastAsia="en-US"/>
        </w:rPr>
        <w:t>or example, one Nuevo Sol per cubic meter</w:t>
      </w:r>
      <w:r w:rsidRPr="00B61623">
        <w:rPr>
          <w:rFonts w:ascii="Calibri" w:eastAsia="Calibri" w:hAnsi="Calibri"/>
          <w:bCs/>
          <w:sz w:val="22"/>
          <w:szCs w:val="20"/>
          <w:lang w:val="en-US" w:eastAsia="en-US"/>
        </w:rPr>
        <w:t xml:space="preserve"> until 20</w:t>
      </w:r>
      <w:r w:rsidR="00541886">
        <w:rPr>
          <w:rFonts w:ascii="Calibri" w:eastAsia="Calibri" w:hAnsi="Calibri"/>
          <w:bCs/>
          <w:sz w:val="22"/>
          <w:szCs w:val="20"/>
          <w:lang w:val="en-US" w:eastAsia="en-US"/>
        </w:rPr>
        <w:t xml:space="preserve"> </w:t>
      </w:r>
      <w:r w:rsidR="00541886">
        <w:rPr>
          <w:rFonts w:ascii="Calibri" w:eastAsia="Calibri" w:hAnsi="Calibri"/>
          <w:bCs/>
          <w:sz w:val="22"/>
          <w:szCs w:val="20"/>
          <w:lang w:val="en-US" w:eastAsia="en-US"/>
        </w:rPr>
        <w:lastRenderedPageBreak/>
        <w:t>meters</w:t>
      </w:r>
      <w:r w:rsidRPr="00B61623">
        <w:rPr>
          <w:rFonts w:ascii="Calibri" w:eastAsia="Calibri" w:hAnsi="Calibri"/>
          <w:bCs/>
          <w:sz w:val="22"/>
          <w:szCs w:val="20"/>
          <w:lang w:val="en-US" w:eastAsia="en-US"/>
        </w:rPr>
        <w:t xml:space="preserve"> and from then </w:t>
      </w:r>
      <w:r w:rsidR="00541886">
        <w:rPr>
          <w:rFonts w:ascii="Calibri" w:eastAsia="Calibri" w:hAnsi="Calibri"/>
          <w:bCs/>
          <w:sz w:val="22"/>
          <w:szCs w:val="20"/>
          <w:lang w:val="en-US" w:eastAsia="en-US"/>
        </w:rPr>
        <w:t xml:space="preserve">the tariff goes to 1.50 </w:t>
      </w:r>
      <w:r w:rsidRPr="00B61623">
        <w:rPr>
          <w:rFonts w:ascii="Calibri" w:eastAsia="Calibri" w:hAnsi="Calibri"/>
          <w:bCs/>
          <w:sz w:val="22"/>
          <w:szCs w:val="20"/>
          <w:lang w:val="en-US" w:eastAsia="en-US"/>
        </w:rPr>
        <w:t xml:space="preserve">Nuevos Soles. The costs of having a sewerage service were also taken in account. A list of all the EPS is presented in </w:t>
      </w:r>
      <w:r w:rsidR="00541886">
        <w:rPr>
          <w:rFonts w:ascii="Calibri" w:eastAsia="Calibri" w:hAnsi="Calibri"/>
          <w:bCs/>
          <w:sz w:val="22"/>
          <w:szCs w:val="20"/>
          <w:lang w:val="en-US" w:eastAsia="en-US"/>
        </w:rPr>
        <w:t>A</w:t>
      </w:r>
      <w:r w:rsidRPr="00B61623">
        <w:rPr>
          <w:rFonts w:ascii="Calibri" w:eastAsia="Calibri" w:hAnsi="Calibri"/>
          <w:bCs/>
          <w:sz w:val="22"/>
          <w:szCs w:val="20"/>
          <w:lang w:val="en-US" w:eastAsia="en-US"/>
        </w:rPr>
        <w:t>nnex I.</w:t>
      </w:r>
    </w:p>
    <w:p w:rsidR="00AE47AE" w:rsidRDefault="00AE47AE" w:rsidP="00497BAB">
      <w:pPr>
        <w:spacing w:line="276" w:lineRule="auto"/>
        <w:jc w:val="both"/>
        <w:rPr>
          <w:rFonts w:ascii="Calibri" w:eastAsia="Calibri" w:hAnsi="Calibri"/>
          <w:bCs/>
          <w:sz w:val="22"/>
          <w:szCs w:val="20"/>
          <w:lang w:val="en-US" w:eastAsia="en-US"/>
        </w:rPr>
      </w:pPr>
    </w:p>
    <w:p w:rsidR="00AE47AE" w:rsidRPr="00B61623" w:rsidRDefault="00541886" w:rsidP="00497BAB">
      <w:pPr>
        <w:spacing w:line="276" w:lineRule="auto"/>
        <w:jc w:val="both"/>
        <w:rPr>
          <w:rFonts w:ascii="Calibri" w:eastAsia="Calibri" w:hAnsi="Calibri"/>
          <w:bCs/>
          <w:sz w:val="22"/>
          <w:szCs w:val="20"/>
          <w:lang w:val="en-US" w:eastAsia="en-US"/>
        </w:rPr>
      </w:pPr>
      <w:r>
        <w:rPr>
          <w:rFonts w:ascii="Calibri" w:eastAsia="Calibri" w:hAnsi="Calibri"/>
          <w:bCs/>
          <w:sz w:val="22"/>
          <w:szCs w:val="20"/>
          <w:lang w:val="en-US" w:eastAsia="en-US"/>
        </w:rPr>
        <w:t>However, the ENAHO has</w:t>
      </w:r>
      <w:r w:rsidR="00AE47AE" w:rsidRPr="00B61623">
        <w:rPr>
          <w:rFonts w:ascii="Calibri" w:eastAsia="Calibri" w:hAnsi="Calibri"/>
          <w:bCs/>
          <w:sz w:val="22"/>
          <w:szCs w:val="20"/>
          <w:lang w:val="en-US" w:eastAsia="en-US"/>
        </w:rPr>
        <w:t xml:space="preserve"> a question that permitted to identify if the household had a private of public connection. The private option was connection directly to the house, whereas the public one included common connections, common use pylon, wells, rivers, etc. After calculating the level of expenditure according to consumption, the spending of each household was divided for each department. The last part in this procedure was to order them according to their level of income to determine their expenditure quintile. </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Pr="00B61623"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 xml:space="preserve">Finally, </w:t>
      </w:r>
      <w:r w:rsidR="00C35CB1">
        <w:rPr>
          <w:rFonts w:ascii="Calibri" w:eastAsia="Calibri" w:hAnsi="Calibri"/>
          <w:bCs/>
          <w:sz w:val="22"/>
          <w:szCs w:val="20"/>
          <w:lang w:val="en-US" w:eastAsia="en-US"/>
        </w:rPr>
        <w:t xml:space="preserve">we need to calculate </w:t>
      </w:r>
      <w:r w:rsidRPr="00B61623">
        <w:rPr>
          <w:rFonts w:ascii="Calibri" w:eastAsia="Calibri" w:hAnsi="Calibri"/>
          <w:bCs/>
          <w:sz w:val="22"/>
          <w:szCs w:val="20"/>
          <w:lang w:val="en-US" w:eastAsia="en-US"/>
        </w:rPr>
        <w:t>the distribution of benefits of water expenditures.  F</w:t>
      </w:r>
      <w:r w:rsidR="00C35CB1">
        <w:rPr>
          <w:rFonts w:ascii="Calibri" w:eastAsia="Calibri" w:hAnsi="Calibri"/>
          <w:bCs/>
          <w:sz w:val="22"/>
          <w:szCs w:val="20"/>
          <w:lang w:val="en-US" w:eastAsia="en-US"/>
        </w:rPr>
        <w:t>or that we obtained the</w:t>
      </w:r>
      <w:r w:rsidRPr="00B61623">
        <w:rPr>
          <w:rFonts w:ascii="Calibri" w:eastAsia="Calibri" w:hAnsi="Calibri"/>
          <w:bCs/>
          <w:sz w:val="22"/>
          <w:szCs w:val="20"/>
          <w:lang w:val="en-US" w:eastAsia="en-US"/>
        </w:rPr>
        <w:t xml:space="preserve"> level of expenditure in the sector by department. Then, the spending was sorted between projects of private or public objectives. </w:t>
      </w:r>
    </w:p>
    <w:p w:rsidR="00AE47AE" w:rsidRPr="00B61623" w:rsidRDefault="00AE47AE" w:rsidP="00497BAB">
      <w:pPr>
        <w:spacing w:line="276" w:lineRule="auto"/>
        <w:jc w:val="both"/>
        <w:rPr>
          <w:rFonts w:ascii="Calibri" w:eastAsia="Calibri" w:hAnsi="Calibri"/>
          <w:bCs/>
          <w:sz w:val="22"/>
          <w:szCs w:val="20"/>
          <w:lang w:val="en-US" w:eastAsia="en-US"/>
        </w:rPr>
      </w:pPr>
    </w:p>
    <w:p w:rsidR="00AE47AE" w:rsidRDefault="00AE47AE" w:rsidP="00497BAB">
      <w:pPr>
        <w:spacing w:line="276" w:lineRule="auto"/>
        <w:jc w:val="both"/>
        <w:rPr>
          <w:rFonts w:ascii="Calibri" w:eastAsia="Calibri" w:hAnsi="Calibri"/>
          <w:bCs/>
          <w:sz w:val="22"/>
          <w:szCs w:val="20"/>
          <w:lang w:val="en-US" w:eastAsia="en-US"/>
        </w:rPr>
      </w:pPr>
      <w:r w:rsidRPr="00B61623">
        <w:rPr>
          <w:rFonts w:ascii="Calibri" w:eastAsia="Calibri" w:hAnsi="Calibri"/>
          <w:bCs/>
          <w:sz w:val="22"/>
          <w:szCs w:val="20"/>
          <w:lang w:val="en-US" w:eastAsia="en-US"/>
        </w:rPr>
        <w:t>The Instituto Nacional de Estadística e Informática (INEI) has calculated recently the GNP per department</w:t>
      </w:r>
      <w:r w:rsidRPr="001C0243">
        <w:rPr>
          <w:rFonts w:ascii="Calibri" w:eastAsia="Calibri" w:hAnsi="Calibri"/>
          <w:bCs/>
          <w:sz w:val="22"/>
          <w:szCs w:val="20"/>
          <w:vertAlign w:val="superscript"/>
          <w:lang w:val="en-US" w:eastAsia="en-US"/>
        </w:rPr>
        <w:footnoteReference w:id="3"/>
      </w:r>
      <w:r w:rsidRPr="00B61623">
        <w:rPr>
          <w:rFonts w:ascii="Calibri" w:eastAsia="Calibri" w:hAnsi="Calibri"/>
          <w:bCs/>
          <w:sz w:val="22"/>
          <w:szCs w:val="20"/>
          <w:lang w:val="en-US" w:eastAsia="en-US"/>
        </w:rPr>
        <w:t xml:space="preserve">. With this information, the departments were sorted according to </w:t>
      </w:r>
      <w:r w:rsidR="00C35CB1">
        <w:rPr>
          <w:rFonts w:ascii="Calibri" w:eastAsia="Calibri" w:hAnsi="Calibri"/>
          <w:bCs/>
          <w:sz w:val="22"/>
          <w:szCs w:val="20"/>
          <w:lang w:val="en-US" w:eastAsia="en-US"/>
        </w:rPr>
        <w:t xml:space="preserve">their </w:t>
      </w:r>
      <w:r w:rsidRPr="00B61623">
        <w:rPr>
          <w:rFonts w:ascii="Calibri" w:eastAsia="Calibri" w:hAnsi="Calibri"/>
          <w:bCs/>
          <w:sz w:val="22"/>
          <w:szCs w:val="20"/>
          <w:lang w:val="en-US" w:eastAsia="en-US"/>
        </w:rPr>
        <w:t>expenditure</w:t>
      </w:r>
      <w:r w:rsidR="00C35CB1">
        <w:rPr>
          <w:rFonts w:ascii="Calibri" w:eastAsia="Calibri" w:hAnsi="Calibri"/>
          <w:bCs/>
          <w:sz w:val="22"/>
          <w:szCs w:val="20"/>
          <w:lang w:val="en-US" w:eastAsia="en-US"/>
        </w:rPr>
        <w:t xml:space="preserve"> level forming the relevant expenditure quintiles</w:t>
      </w:r>
      <w:r w:rsidRPr="00B61623">
        <w:rPr>
          <w:rFonts w:ascii="Calibri" w:eastAsia="Calibri" w:hAnsi="Calibri"/>
          <w:bCs/>
          <w:sz w:val="22"/>
          <w:szCs w:val="20"/>
          <w:lang w:val="en-US" w:eastAsia="en-US"/>
        </w:rPr>
        <w:t xml:space="preserve">. However, the capital Lima, in which an important part of the investments go, is in the highest quintile. The problem is that in Lima the poorest areas are the ones </w:t>
      </w:r>
      <w:r w:rsidR="00C35CB1">
        <w:rPr>
          <w:rFonts w:ascii="Calibri" w:eastAsia="Calibri" w:hAnsi="Calibri"/>
          <w:bCs/>
          <w:sz w:val="22"/>
          <w:szCs w:val="20"/>
          <w:lang w:val="en-US" w:eastAsia="en-US"/>
        </w:rPr>
        <w:t xml:space="preserve">that actually </w:t>
      </w:r>
      <w:r w:rsidRPr="00B61623">
        <w:rPr>
          <w:rFonts w:ascii="Calibri" w:eastAsia="Calibri" w:hAnsi="Calibri"/>
          <w:bCs/>
          <w:sz w:val="22"/>
          <w:szCs w:val="20"/>
          <w:lang w:val="en-US" w:eastAsia="en-US"/>
        </w:rPr>
        <w:t xml:space="preserve">receive this expenditure, so taking Lima as a whole would skew the distribution. So, the </w:t>
      </w:r>
      <w:r w:rsidR="00C35CB1" w:rsidRPr="00B61623">
        <w:rPr>
          <w:rFonts w:ascii="Calibri" w:eastAsia="Calibri" w:hAnsi="Calibri"/>
          <w:bCs/>
          <w:sz w:val="22"/>
          <w:szCs w:val="20"/>
          <w:lang w:val="en-US" w:eastAsia="en-US"/>
        </w:rPr>
        <w:t xml:space="preserve">solution was separating Lima in its 42 districts and </w:t>
      </w:r>
      <w:r w:rsidR="00C35CB1">
        <w:rPr>
          <w:rFonts w:ascii="Calibri" w:eastAsia="Calibri" w:hAnsi="Calibri"/>
          <w:bCs/>
          <w:sz w:val="22"/>
          <w:szCs w:val="20"/>
          <w:lang w:val="en-US" w:eastAsia="en-US"/>
        </w:rPr>
        <w:t>consider each of them as a department</w:t>
      </w:r>
      <w:r w:rsidRPr="00B61623">
        <w:rPr>
          <w:rFonts w:ascii="Calibri" w:eastAsia="Calibri" w:hAnsi="Calibri"/>
          <w:bCs/>
          <w:sz w:val="22"/>
          <w:szCs w:val="20"/>
          <w:lang w:val="en-US" w:eastAsia="en-US"/>
        </w:rPr>
        <w:t>.</w:t>
      </w:r>
    </w:p>
    <w:p w:rsidR="00815C3F" w:rsidRDefault="00815C3F" w:rsidP="00AE47AE">
      <w:pPr>
        <w:jc w:val="both"/>
        <w:rPr>
          <w:rFonts w:ascii="Calibri" w:eastAsia="Calibri" w:hAnsi="Calibri"/>
          <w:bCs/>
          <w:sz w:val="22"/>
          <w:szCs w:val="20"/>
          <w:lang w:val="en-US" w:eastAsia="en-US"/>
        </w:rPr>
      </w:pPr>
    </w:p>
    <w:p w:rsidR="0035584F" w:rsidRPr="00815C3F" w:rsidRDefault="0035584F" w:rsidP="00815C3F">
      <w:pPr>
        <w:pStyle w:val="Ttulo2"/>
        <w:numPr>
          <w:ilvl w:val="0"/>
          <w:numId w:val="19"/>
        </w:numPr>
        <w:spacing w:before="0"/>
        <w:rPr>
          <w:rStyle w:val="nfasisintenso"/>
          <w:lang w:val="en-US"/>
        </w:rPr>
      </w:pPr>
      <w:bookmarkStart w:id="24" w:name="_Toc254912258"/>
      <w:r w:rsidRPr="00815C3F">
        <w:rPr>
          <w:rStyle w:val="nfasisintenso"/>
          <w:lang w:val="en-US"/>
        </w:rPr>
        <w:t>Results and discussion</w:t>
      </w:r>
      <w:bookmarkEnd w:id="24"/>
    </w:p>
    <w:p w:rsidR="0035584F" w:rsidRDefault="0035584F" w:rsidP="00AE47AE">
      <w:pPr>
        <w:jc w:val="both"/>
        <w:rPr>
          <w:rFonts w:ascii="Calibri" w:eastAsia="Calibri" w:hAnsi="Calibri"/>
          <w:bCs/>
          <w:sz w:val="22"/>
          <w:szCs w:val="20"/>
          <w:lang w:val="en-US" w:eastAsia="en-US"/>
        </w:rPr>
      </w:pPr>
    </w:p>
    <w:p w:rsidR="0035584F" w:rsidRDefault="0035584F" w:rsidP="0035584F">
      <w:pPr>
        <w:spacing w:line="276" w:lineRule="auto"/>
        <w:jc w:val="both"/>
        <w:rPr>
          <w:rFonts w:ascii="Calibri" w:hAnsi="Calibri" w:cs="Arial"/>
          <w:sz w:val="22"/>
          <w:szCs w:val="22"/>
          <w:lang w:val="en-GB"/>
        </w:rPr>
      </w:pPr>
      <w:r w:rsidRPr="00625E3D">
        <w:rPr>
          <w:rFonts w:ascii="Calibri" w:hAnsi="Calibri" w:cs="Arial"/>
          <w:sz w:val="22"/>
          <w:szCs w:val="22"/>
          <w:lang w:val="en-GB"/>
        </w:rPr>
        <w:t>The following table shows the average subsidy made from the government by each type of connection.</w:t>
      </w:r>
      <w:r w:rsidR="00680E9C">
        <w:rPr>
          <w:rFonts w:ascii="Calibri" w:hAnsi="Calibri" w:cs="Arial"/>
          <w:sz w:val="22"/>
          <w:szCs w:val="22"/>
          <w:lang w:val="en-GB"/>
        </w:rPr>
        <w:t xml:space="preserve"> It is important to understand that this is the marginal cost of a new connection to an already existing network. There is a fixed cost that we are not considering which is related to install a new network.</w:t>
      </w:r>
    </w:p>
    <w:p w:rsidR="00680E9C" w:rsidRPr="00625E3D" w:rsidRDefault="00680E9C" w:rsidP="0035584F">
      <w:pPr>
        <w:spacing w:line="276" w:lineRule="auto"/>
        <w:jc w:val="both"/>
        <w:rPr>
          <w:rFonts w:ascii="Calibri" w:hAnsi="Calibri" w:cs="Arial"/>
          <w:sz w:val="22"/>
          <w:szCs w:val="22"/>
          <w:lang w:val="en-GB"/>
        </w:rPr>
      </w:pPr>
    </w:p>
    <w:p w:rsidR="0035584F" w:rsidRPr="00625E3D" w:rsidRDefault="0035584F" w:rsidP="0035584F">
      <w:pPr>
        <w:pStyle w:val="Epgrafe"/>
        <w:jc w:val="center"/>
        <w:rPr>
          <w:rFonts w:ascii="Calibri" w:eastAsia="Calibri" w:hAnsi="Calibri"/>
          <w:color w:val="4F81BD"/>
          <w:sz w:val="22"/>
          <w:szCs w:val="22"/>
          <w:lang w:val="en-US" w:eastAsia="en-US"/>
        </w:rPr>
      </w:pPr>
      <w:r w:rsidRPr="00625E3D">
        <w:rPr>
          <w:rFonts w:ascii="Calibri" w:eastAsia="Calibri" w:hAnsi="Calibri"/>
          <w:color w:val="4F81BD"/>
          <w:sz w:val="22"/>
          <w:szCs w:val="22"/>
          <w:lang w:val="en-US" w:eastAsia="en-US"/>
        </w:rPr>
        <w:t xml:space="preserve">Table </w:t>
      </w:r>
      <w:r>
        <w:rPr>
          <w:rFonts w:ascii="Calibri" w:eastAsia="Calibri" w:hAnsi="Calibri"/>
          <w:color w:val="4F81BD"/>
          <w:sz w:val="22"/>
          <w:szCs w:val="22"/>
          <w:lang w:val="en-US" w:eastAsia="en-US"/>
        </w:rPr>
        <w:t>7</w:t>
      </w:r>
    </w:p>
    <w:p w:rsidR="0035584F" w:rsidRPr="00F66AA5" w:rsidRDefault="00786AEB" w:rsidP="0035584F">
      <w:pPr>
        <w:spacing w:line="276" w:lineRule="auto"/>
        <w:jc w:val="center"/>
        <w:rPr>
          <w:rFonts w:ascii="Calibri" w:hAnsi="Calibri"/>
          <w:lang w:val="en-GB"/>
        </w:rPr>
      </w:pPr>
      <w:r>
        <w:rPr>
          <w:noProof/>
          <w:lang w:val="es-PE" w:eastAsia="es-PE"/>
        </w:rPr>
        <w:drawing>
          <wp:inline distT="0" distB="0" distL="0" distR="0">
            <wp:extent cx="5122293" cy="991118"/>
            <wp:effectExtent l="19050" t="0" r="2157"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5126181" cy="991870"/>
                    </a:xfrm>
                    <a:prstGeom prst="rect">
                      <a:avLst/>
                    </a:prstGeom>
                    <a:noFill/>
                    <a:ln w="9525">
                      <a:noFill/>
                      <a:miter lim="800000"/>
                      <a:headEnd/>
                      <a:tailEnd/>
                    </a:ln>
                  </pic:spPr>
                </pic:pic>
              </a:graphicData>
            </a:graphic>
          </wp:inline>
        </w:drawing>
      </w:r>
    </w:p>
    <w:p w:rsidR="0035584F" w:rsidRDefault="0035584F" w:rsidP="0035584F">
      <w:pPr>
        <w:spacing w:line="276" w:lineRule="auto"/>
        <w:ind w:firstLine="708"/>
        <w:jc w:val="both"/>
        <w:rPr>
          <w:rFonts w:ascii="Calibri" w:hAnsi="Calibri" w:cs="Arial"/>
          <w:sz w:val="16"/>
          <w:szCs w:val="16"/>
        </w:rPr>
      </w:pPr>
      <w:r w:rsidRPr="00625E3D">
        <w:rPr>
          <w:rFonts w:ascii="Calibri" w:hAnsi="Calibri" w:cs="Arial"/>
          <w:sz w:val="16"/>
          <w:szCs w:val="16"/>
        </w:rPr>
        <w:t>Source: MEF – Transparencia Económica and MVCS</w:t>
      </w:r>
    </w:p>
    <w:p w:rsidR="0035584F" w:rsidRDefault="0035584F" w:rsidP="0035584F">
      <w:pPr>
        <w:spacing w:line="276" w:lineRule="auto"/>
        <w:rPr>
          <w:rFonts w:ascii="Calibri" w:hAnsi="Calibri"/>
        </w:rPr>
      </w:pPr>
    </w:p>
    <w:p w:rsidR="00680E9C" w:rsidRPr="00F66AA5" w:rsidRDefault="00680E9C" w:rsidP="0035584F">
      <w:pPr>
        <w:spacing w:line="276" w:lineRule="auto"/>
        <w:rPr>
          <w:rFonts w:ascii="Calibri" w:hAnsi="Calibri"/>
        </w:rPr>
      </w:pPr>
    </w:p>
    <w:p w:rsidR="0035584F" w:rsidRPr="00625E3D" w:rsidRDefault="0035584F" w:rsidP="0035584F">
      <w:pPr>
        <w:pStyle w:val="Epgrafe"/>
        <w:spacing w:line="276" w:lineRule="auto"/>
        <w:jc w:val="both"/>
        <w:rPr>
          <w:rFonts w:ascii="Calibri" w:hAnsi="Calibri" w:cs="Arial"/>
          <w:b w:val="0"/>
          <w:bCs w:val="0"/>
          <w:sz w:val="22"/>
          <w:szCs w:val="22"/>
          <w:lang w:val="en-GB"/>
        </w:rPr>
      </w:pPr>
      <w:r w:rsidRPr="00625E3D">
        <w:rPr>
          <w:rFonts w:ascii="Calibri" w:hAnsi="Calibri" w:cs="Arial"/>
          <w:b w:val="0"/>
          <w:bCs w:val="0"/>
          <w:sz w:val="22"/>
          <w:szCs w:val="22"/>
          <w:lang w:val="en-GB"/>
        </w:rPr>
        <w:t xml:space="preserve">Table </w:t>
      </w:r>
      <w:r>
        <w:rPr>
          <w:rFonts w:ascii="Calibri" w:hAnsi="Calibri" w:cs="Arial"/>
          <w:b w:val="0"/>
          <w:bCs w:val="0"/>
          <w:sz w:val="22"/>
          <w:szCs w:val="22"/>
          <w:lang w:val="en-GB"/>
        </w:rPr>
        <w:t>8</w:t>
      </w:r>
      <w:r w:rsidRPr="00625E3D">
        <w:rPr>
          <w:rFonts w:ascii="Calibri" w:hAnsi="Calibri" w:cs="Arial"/>
          <w:b w:val="0"/>
          <w:bCs w:val="0"/>
          <w:sz w:val="22"/>
          <w:szCs w:val="22"/>
          <w:lang w:val="en-GB"/>
        </w:rPr>
        <w:t xml:space="preserve"> presents the monthly usage of water measured in </w:t>
      </w:r>
      <w:r w:rsidR="003B27EE">
        <w:rPr>
          <w:rFonts w:ascii="Calibri" w:hAnsi="Calibri" w:cs="Arial"/>
          <w:b w:val="0"/>
          <w:bCs w:val="0"/>
          <w:sz w:val="22"/>
          <w:szCs w:val="22"/>
          <w:lang w:val="en-GB"/>
        </w:rPr>
        <w:t>cubic</w:t>
      </w:r>
      <w:r w:rsidRPr="00625E3D">
        <w:rPr>
          <w:rFonts w:ascii="Calibri" w:hAnsi="Calibri" w:cs="Arial"/>
          <w:b w:val="0"/>
          <w:bCs w:val="0"/>
          <w:sz w:val="22"/>
          <w:szCs w:val="22"/>
          <w:lang w:val="en-GB"/>
        </w:rPr>
        <w:t xml:space="preserve"> meters and ordered by each connection and the expenditure quintile. </w:t>
      </w:r>
    </w:p>
    <w:p w:rsidR="0035584F" w:rsidRDefault="0035584F" w:rsidP="0035584F">
      <w:pPr>
        <w:pStyle w:val="Epgrafe"/>
        <w:jc w:val="center"/>
        <w:rPr>
          <w:rFonts w:ascii="Calibri" w:eastAsia="Calibri" w:hAnsi="Calibri"/>
          <w:color w:val="4F81BD"/>
          <w:sz w:val="22"/>
          <w:szCs w:val="22"/>
          <w:lang w:val="en-US" w:eastAsia="en-US"/>
        </w:rPr>
      </w:pPr>
    </w:p>
    <w:p w:rsidR="00680E9C" w:rsidRDefault="00680E9C" w:rsidP="00680E9C">
      <w:pPr>
        <w:rPr>
          <w:rFonts w:eastAsia="Calibri"/>
          <w:lang w:val="en-US" w:eastAsia="en-US"/>
        </w:rPr>
      </w:pPr>
    </w:p>
    <w:p w:rsidR="0035584F" w:rsidRPr="00625E3D" w:rsidRDefault="0035584F" w:rsidP="0035584F">
      <w:pPr>
        <w:pStyle w:val="Epgrafe"/>
        <w:jc w:val="center"/>
        <w:rPr>
          <w:rFonts w:ascii="Calibri" w:eastAsia="Calibri" w:hAnsi="Calibri"/>
          <w:color w:val="4F81BD"/>
          <w:sz w:val="22"/>
          <w:szCs w:val="22"/>
          <w:lang w:val="en-US" w:eastAsia="en-US"/>
        </w:rPr>
      </w:pPr>
      <w:r w:rsidRPr="00625E3D">
        <w:rPr>
          <w:rFonts w:ascii="Calibri" w:eastAsia="Calibri" w:hAnsi="Calibri"/>
          <w:color w:val="4F81BD"/>
          <w:sz w:val="22"/>
          <w:szCs w:val="22"/>
          <w:lang w:val="en-US" w:eastAsia="en-US"/>
        </w:rPr>
        <w:lastRenderedPageBreak/>
        <w:t>Table 8</w:t>
      </w:r>
    </w:p>
    <w:p w:rsidR="0035584F" w:rsidRPr="00625E3D" w:rsidRDefault="00680E9C" w:rsidP="0035584F">
      <w:pPr>
        <w:spacing w:line="276" w:lineRule="auto"/>
        <w:jc w:val="both"/>
        <w:rPr>
          <w:rFonts w:ascii="Calibri" w:hAnsi="Calibri" w:cs="Arial"/>
          <w:sz w:val="16"/>
          <w:szCs w:val="16"/>
          <w:lang w:val="en-GB"/>
        </w:rPr>
      </w:pPr>
      <w:r>
        <w:rPr>
          <w:rFonts w:ascii="Calibri" w:hAnsi="Calibri" w:cs="Arial"/>
          <w:noProof/>
          <w:sz w:val="16"/>
          <w:szCs w:val="16"/>
          <w:lang w:val="es-PE" w:eastAsia="es-PE"/>
        </w:rPr>
        <w:drawing>
          <wp:inline distT="0" distB="0" distL="0" distR="0">
            <wp:extent cx="5391785" cy="148399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srcRect/>
                    <a:stretch>
                      <a:fillRect/>
                    </a:stretch>
                  </pic:blipFill>
                  <pic:spPr bwMode="auto">
                    <a:xfrm>
                      <a:off x="0" y="0"/>
                      <a:ext cx="5391785" cy="1483995"/>
                    </a:xfrm>
                    <a:prstGeom prst="rect">
                      <a:avLst/>
                    </a:prstGeom>
                    <a:noFill/>
                    <a:ln w="9525">
                      <a:noFill/>
                      <a:miter lim="800000"/>
                      <a:headEnd/>
                      <a:tailEnd/>
                    </a:ln>
                  </pic:spPr>
                </pic:pic>
              </a:graphicData>
            </a:graphic>
          </wp:inline>
        </w:drawing>
      </w:r>
      <w:r w:rsidR="0035584F" w:rsidRPr="00625E3D">
        <w:rPr>
          <w:rFonts w:ascii="Calibri" w:hAnsi="Calibri" w:cs="Arial"/>
          <w:sz w:val="16"/>
          <w:szCs w:val="16"/>
          <w:lang w:val="en-GB"/>
        </w:rPr>
        <w:t>Source: ENAHO and SUNASS</w:t>
      </w:r>
    </w:p>
    <w:p w:rsidR="0035584F" w:rsidRPr="00F66AA5" w:rsidRDefault="0035584F" w:rsidP="0035584F">
      <w:pPr>
        <w:spacing w:line="276" w:lineRule="auto"/>
        <w:rPr>
          <w:rFonts w:ascii="Calibri" w:hAnsi="Calibri" w:cs="Arial"/>
          <w:lang w:val="en-GB"/>
        </w:rPr>
      </w:pPr>
    </w:p>
    <w:p w:rsidR="00680E9C" w:rsidRDefault="0035584F" w:rsidP="00680E9C">
      <w:pPr>
        <w:spacing w:line="276" w:lineRule="auto"/>
        <w:jc w:val="both"/>
        <w:rPr>
          <w:rFonts w:ascii="Calibri" w:hAnsi="Calibri" w:cs="Arial"/>
          <w:sz w:val="22"/>
          <w:szCs w:val="22"/>
          <w:lang w:val="en-GB"/>
        </w:rPr>
      </w:pPr>
      <w:r w:rsidRPr="00625E3D">
        <w:rPr>
          <w:rFonts w:ascii="Calibri" w:hAnsi="Calibri" w:cs="Arial"/>
          <w:sz w:val="22"/>
          <w:szCs w:val="22"/>
          <w:lang w:val="en-GB"/>
        </w:rPr>
        <w:t>The next t</w:t>
      </w:r>
      <w:r>
        <w:rPr>
          <w:rFonts w:ascii="Calibri" w:hAnsi="Calibri" w:cs="Arial"/>
          <w:sz w:val="22"/>
          <w:szCs w:val="22"/>
          <w:lang w:val="en-GB"/>
        </w:rPr>
        <w:t>able adds information to Table 8</w:t>
      </w:r>
      <w:r w:rsidRPr="00625E3D">
        <w:rPr>
          <w:rFonts w:ascii="Calibri" w:hAnsi="Calibri" w:cs="Arial"/>
          <w:sz w:val="22"/>
          <w:szCs w:val="22"/>
          <w:lang w:val="en-GB"/>
        </w:rPr>
        <w:t>. In this case, it is presented the monetary amount spend for the water service.</w:t>
      </w:r>
    </w:p>
    <w:p w:rsidR="00680E9C" w:rsidRDefault="00680E9C" w:rsidP="00680E9C">
      <w:pPr>
        <w:spacing w:line="276" w:lineRule="auto"/>
        <w:jc w:val="both"/>
        <w:rPr>
          <w:rFonts w:ascii="Calibri" w:eastAsia="Calibri" w:hAnsi="Calibri"/>
          <w:color w:val="4F81BD"/>
          <w:sz w:val="22"/>
          <w:szCs w:val="22"/>
          <w:lang w:val="en-US" w:eastAsia="en-US"/>
        </w:rPr>
      </w:pPr>
    </w:p>
    <w:p w:rsidR="0035584F" w:rsidRPr="00625E3D" w:rsidRDefault="0035584F" w:rsidP="00680E9C">
      <w:pPr>
        <w:spacing w:line="276" w:lineRule="auto"/>
        <w:jc w:val="center"/>
        <w:rPr>
          <w:rFonts w:ascii="Calibri" w:eastAsia="Calibri" w:hAnsi="Calibri"/>
          <w:color w:val="4F81BD"/>
          <w:sz w:val="22"/>
          <w:szCs w:val="22"/>
          <w:lang w:val="en-US" w:eastAsia="en-US"/>
        </w:rPr>
      </w:pPr>
      <w:r w:rsidRPr="00625E3D">
        <w:rPr>
          <w:rFonts w:ascii="Calibri" w:eastAsia="Calibri" w:hAnsi="Calibri"/>
          <w:color w:val="4F81BD"/>
          <w:sz w:val="22"/>
          <w:szCs w:val="22"/>
          <w:lang w:val="en-US" w:eastAsia="en-US"/>
        </w:rPr>
        <w:t xml:space="preserve">Table </w:t>
      </w:r>
      <w:r>
        <w:rPr>
          <w:rFonts w:ascii="Calibri" w:eastAsia="Calibri" w:hAnsi="Calibri"/>
          <w:color w:val="4F81BD"/>
          <w:sz w:val="22"/>
          <w:szCs w:val="22"/>
          <w:lang w:val="en-US" w:eastAsia="en-US"/>
        </w:rPr>
        <w:t>9</w:t>
      </w:r>
    </w:p>
    <w:p w:rsidR="0035584F" w:rsidRPr="00F66AA5" w:rsidRDefault="00786AEB" w:rsidP="0035584F">
      <w:pPr>
        <w:spacing w:line="276" w:lineRule="auto"/>
        <w:rPr>
          <w:rFonts w:ascii="Calibri" w:hAnsi="Calibri" w:cs="Arial"/>
          <w:lang w:val="en-GB"/>
        </w:rPr>
      </w:pPr>
      <w:r>
        <w:rPr>
          <w:noProof/>
          <w:lang w:val="es-PE" w:eastAsia="es-PE"/>
        </w:rPr>
        <w:drawing>
          <wp:inline distT="0" distB="0" distL="0" distR="0">
            <wp:extent cx="5391785" cy="125920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5391785" cy="1259205"/>
                    </a:xfrm>
                    <a:prstGeom prst="rect">
                      <a:avLst/>
                    </a:prstGeom>
                    <a:noFill/>
                    <a:ln w="9525">
                      <a:noFill/>
                      <a:miter lim="800000"/>
                      <a:headEnd/>
                      <a:tailEnd/>
                    </a:ln>
                  </pic:spPr>
                </pic:pic>
              </a:graphicData>
            </a:graphic>
          </wp:inline>
        </w:drawing>
      </w:r>
    </w:p>
    <w:p w:rsidR="0035584F" w:rsidRPr="00625E3D" w:rsidRDefault="0035584F" w:rsidP="0035584F">
      <w:pPr>
        <w:spacing w:line="276" w:lineRule="auto"/>
        <w:jc w:val="both"/>
        <w:rPr>
          <w:rFonts w:ascii="Calibri" w:hAnsi="Calibri" w:cs="Arial"/>
          <w:sz w:val="16"/>
          <w:szCs w:val="16"/>
          <w:lang w:val="en-GB"/>
        </w:rPr>
      </w:pPr>
      <w:r w:rsidRPr="00625E3D">
        <w:rPr>
          <w:rFonts w:ascii="Calibri" w:hAnsi="Calibri" w:cs="Arial"/>
          <w:sz w:val="16"/>
          <w:szCs w:val="16"/>
          <w:lang w:val="en-GB"/>
        </w:rPr>
        <w:t>Source: MEF – Transparencia Económica and INEI</w:t>
      </w:r>
    </w:p>
    <w:p w:rsidR="0035584F" w:rsidRPr="00F66AA5" w:rsidRDefault="0035584F" w:rsidP="0035584F">
      <w:pPr>
        <w:spacing w:line="276" w:lineRule="auto"/>
        <w:rPr>
          <w:rFonts w:ascii="Calibri" w:hAnsi="Calibri" w:cs="Arial"/>
          <w:lang w:val="en-GB"/>
        </w:rPr>
      </w:pPr>
    </w:p>
    <w:p w:rsidR="0035584F" w:rsidRDefault="0035584F" w:rsidP="0035584F">
      <w:pPr>
        <w:spacing w:line="276" w:lineRule="auto"/>
        <w:jc w:val="both"/>
        <w:rPr>
          <w:rFonts w:ascii="Calibri" w:hAnsi="Calibri" w:cs="Arial"/>
          <w:sz w:val="22"/>
          <w:szCs w:val="22"/>
          <w:lang w:val="en-GB"/>
        </w:rPr>
      </w:pPr>
      <w:r w:rsidRPr="00625E3D">
        <w:rPr>
          <w:rFonts w:ascii="Calibri" w:hAnsi="Calibri" w:cs="Arial"/>
          <w:sz w:val="22"/>
          <w:szCs w:val="22"/>
          <w:lang w:val="en-GB"/>
        </w:rPr>
        <w:t>The last set of tables in this section has the distribution of benefits of the government spending in the water sector by the kind of connection and the expenditure quintile that is directed to.</w:t>
      </w:r>
      <w:r w:rsidR="00C97EF1">
        <w:rPr>
          <w:rFonts w:ascii="Calibri" w:hAnsi="Calibri" w:cs="Arial"/>
          <w:sz w:val="22"/>
          <w:szCs w:val="22"/>
          <w:lang w:val="en-GB"/>
        </w:rPr>
        <w:t xml:space="preserve"> As expected the government subsidies are more or less well focused. The first three quintiles received more than three quarts of the total expenditure. What is not clear is how efficient is the government choice of 65% of that is given through private connection and only 35% by public connections. We must defer this discussion to the next paper in which we tackle cost-effectiveness issues.</w:t>
      </w:r>
    </w:p>
    <w:p w:rsidR="0035584F" w:rsidRPr="00625E3D" w:rsidRDefault="0035584F" w:rsidP="0035584F">
      <w:pPr>
        <w:spacing w:line="276" w:lineRule="auto"/>
        <w:jc w:val="both"/>
        <w:rPr>
          <w:rFonts w:ascii="Calibri" w:hAnsi="Calibri" w:cs="Arial"/>
          <w:sz w:val="22"/>
          <w:szCs w:val="22"/>
          <w:lang w:val="en-GB"/>
        </w:rPr>
      </w:pPr>
    </w:p>
    <w:p w:rsidR="0035584F" w:rsidRPr="00625E3D" w:rsidRDefault="0035584F" w:rsidP="0035584F">
      <w:pPr>
        <w:pStyle w:val="Epgrafe"/>
        <w:jc w:val="center"/>
        <w:rPr>
          <w:rFonts w:ascii="Calibri" w:eastAsia="Calibri" w:hAnsi="Calibri"/>
          <w:color w:val="4F81BD"/>
          <w:sz w:val="22"/>
          <w:szCs w:val="22"/>
          <w:lang w:val="en-US" w:eastAsia="en-US"/>
        </w:rPr>
      </w:pPr>
      <w:r>
        <w:rPr>
          <w:rFonts w:ascii="Calibri" w:eastAsia="Calibri" w:hAnsi="Calibri"/>
          <w:color w:val="4F81BD"/>
          <w:sz w:val="22"/>
          <w:szCs w:val="22"/>
          <w:lang w:val="en-US" w:eastAsia="en-US"/>
        </w:rPr>
        <w:t>Table 10</w:t>
      </w:r>
    </w:p>
    <w:p w:rsidR="0035584F" w:rsidRPr="00F66AA5" w:rsidRDefault="00786AEB" w:rsidP="0035584F">
      <w:pPr>
        <w:spacing w:line="276" w:lineRule="auto"/>
        <w:rPr>
          <w:rFonts w:ascii="Calibri" w:hAnsi="Calibri" w:cs="Arial"/>
          <w:lang w:val="en-GB"/>
        </w:rPr>
      </w:pPr>
      <w:r>
        <w:rPr>
          <w:noProof/>
          <w:lang w:val="es-PE" w:eastAsia="es-PE"/>
        </w:rPr>
        <w:drawing>
          <wp:inline distT="0" distB="0" distL="0" distR="0">
            <wp:extent cx="5391785" cy="110426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5391785" cy="1104265"/>
                    </a:xfrm>
                    <a:prstGeom prst="rect">
                      <a:avLst/>
                    </a:prstGeom>
                    <a:noFill/>
                    <a:ln w="9525">
                      <a:noFill/>
                      <a:miter lim="800000"/>
                      <a:headEnd/>
                      <a:tailEnd/>
                    </a:ln>
                  </pic:spPr>
                </pic:pic>
              </a:graphicData>
            </a:graphic>
          </wp:inline>
        </w:drawing>
      </w:r>
    </w:p>
    <w:p w:rsidR="0035584F" w:rsidRPr="00625E3D" w:rsidRDefault="0035584F" w:rsidP="0035584F">
      <w:pPr>
        <w:spacing w:line="276" w:lineRule="auto"/>
        <w:jc w:val="both"/>
        <w:rPr>
          <w:rFonts w:ascii="Calibri" w:hAnsi="Calibri" w:cs="Arial"/>
          <w:sz w:val="16"/>
          <w:szCs w:val="16"/>
          <w:lang w:val="en-GB"/>
        </w:rPr>
      </w:pPr>
      <w:r w:rsidRPr="00625E3D">
        <w:rPr>
          <w:rFonts w:ascii="Calibri" w:hAnsi="Calibri" w:cs="Arial"/>
          <w:sz w:val="16"/>
          <w:szCs w:val="16"/>
          <w:lang w:val="en-GB"/>
        </w:rPr>
        <w:t>Source: MEF – Transparencia Económica and INEI</w:t>
      </w:r>
    </w:p>
    <w:p w:rsidR="000E7197" w:rsidRDefault="000E7197" w:rsidP="0035584F">
      <w:pPr>
        <w:spacing w:line="276" w:lineRule="auto"/>
        <w:jc w:val="both"/>
        <w:rPr>
          <w:rFonts w:ascii="Calibri" w:hAnsi="Calibri" w:cs="Arial"/>
          <w:sz w:val="22"/>
          <w:szCs w:val="22"/>
          <w:lang w:val="en-GB"/>
        </w:rPr>
      </w:pPr>
    </w:p>
    <w:p w:rsidR="0035584F" w:rsidRPr="00100DA9" w:rsidRDefault="0035584F" w:rsidP="0035584F">
      <w:pPr>
        <w:spacing w:line="276" w:lineRule="auto"/>
        <w:jc w:val="both"/>
        <w:rPr>
          <w:rFonts w:ascii="Calibri" w:hAnsi="Calibri" w:cs="Arial"/>
          <w:sz w:val="22"/>
          <w:szCs w:val="22"/>
          <w:lang w:val="en-GB"/>
        </w:rPr>
      </w:pPr>
      <w:r>
        <w:rPr>
          <w:rFonts w:ascii="Calibri" w:hAnsi="Calibri" w:cs="Arial"/>
          <w:sz w:val="22"/>
          <w:szCs w:val="22"/>
          <w:lang w:val="en-GB"/>
        </w:rPr>
        <w:t>Table 11</w:t>
      </w:r>
      <w:r w:rsidRPr="00100DA9">
        <w:rPr>
          <w:rFonts w:ascii="Calibri" w:hAnsi="Calibri" w:cs="Arial"/>
          <w:sz w:val="22"/>
          <w:szCs w:val="22"/>
          <w:lang w:val="en-GB"/>
        </w:rPr>
        <w:t xml:space="preserve"> h</w:t>
      </w:r>
      <w:r>
        <w:rPr>
          <w:rFonts w:ascii="Calibri" w:hAnsi="Calibri" w:cs="Arial"/>
          <w:sz w:val="22"/>
          <w:szCs w:val="22"/>
          <w:lang w:val="en-GB"/>
        </w:rPr>
        <w:t>as the same structure of table 10</w:t>
      </w:r>
      <w:r w:rsidRPr="00100DA9">
        <w:rPr>
          <w:rFonts w:ascii="Calibri" w:hAnsi="Calibri" w:cs="Arial"/>
          <w:sz w:val="22"/>
          <w:szCs w:val="22"/>
          <w:lang w:val="en-GB"/>
        </w:rPr>
        <w:t xml:space="preserve"> but its level of detail is purely departmental. As it </w:t>
      </w:r>
      <w:r w:rsidR="001757CF">
        <w:rPr>
          <w:rFonts w:ascii="Calibri" w:hAnsi="Calibri" w:cs="Arial"/>
          <w:sz w:val="22"/>
          <w:szCs w:val="22"/>
          <w:lang w:val="en-GB"/>
        </w:rPr>
        <w:t>was</w:t>
      </w:r>
      <w:r w:rsidRPr="00100DA9">
        <w:rPr>
          <w:rFonts w:ascii="Calibri" w:hAnsi="Calibri" w:cs="Arial"/>
          <w:sz w:val="22"/>
          <w:szCs w:val="22"/>
          <w:lang w:val="en-GB"/>
        </w:rPr>
        <w:t xml:space="preserve"> discussed in the </w:t>
      </w:r>
      <w:r w:rsidR="001757CF">
        <w:rPr>
          <w:rFonts w:ascii="Calibri" w:hAnsi="Calibri" w:cs="Arial"/>
          <w:sz w:val="22"/>
          <w:szCs w:val="22"/>
          <w:lang w:val="en-GB"/>
        </w:rPr>
        <w:t>methodology section</w:t>
      </w:r>
      <w:r w:rsidRPr="00100DA9">
        <w:rPr>
          <w:rFonts w:ascii="Calibri" w:hAnsi="Calibri" w:cs="Arial"/>
          <w:sz w:val="22"/>
          <w:szCs w:val="22"/>
          <w:lang w:val="en-GB"/>
        </w:rPr>
        <w:t xml:space="preserve">, in order to prepare table </w:t>
      </w:r>
      <w:r>
        <w:rPr>
          <w:rFonts w:ascii="Calibri" w:hAnsi="Calibri" w:cs="Arial"/>
          <w:sz w:val="22"/>
          <w:szCs w:val="22"/>
          <w:lang w:val="en-GB"/>
        </w:rPr>
        <w:t>10</w:t>
      </w:r>
      <w:r w:rsidRPr="00100DA9">
        <w:rPr>
          <w:rFonts w:ascii="Calibri" w:hAnsi="Calibri" w:cs="Arial"/>
          <w:sz w:val="22"/>
          <w:szCs w:val="22"/>
          <w:lang w:val="en-GB"/>
        </w:rPr>
        <w:t xml:space="preserve"> the expenditure quintiles used were of departmental GDP per capita. However, due to the great amount </w:t>
      </w:r>
      <w:r w:rsidRPr="00100DA9">
        <w:rPr>
          <w:rFonts w:ascii="Calibri" w:hAnsi="Calibri" w:cs="Arial"/>
          <w:sz w:val="22"/>
          <w:szCs w:val="22"/>
          <w:lang w:val="en-GB"/>
        </w:rPr>
        <w:lastRenderedPageBreak/>
        <w:t xml:space="preserve">destined to Lima and its unequal distribution of income, </w:t>
      </w:r>
      <w:r w:rsidR="003B27EE">
        <w:rPr>
          <w:rFonts w:ascii="Calibri" w:hAnsi="Calibri" w:cs="Arial"/>
          <w:sz w:val="22"/>
          <w:szCs w:val="22"/>
          <w:lang w:val="en-GB"/>
        </w:rPr>
        <w:t>we have to treat each Lima district as a department in order to rank them properly.</w:t>
      </w:r>
      <w:r w:rsidRPr="00100DA9">
        <w:rPr>
          <w:rFonts w:ascii="Calibri" w:hAnsi="Calibri" w:cs="Arial"/>
          <w:sz w:val="22"/>
          <w:szCs w:val="22"/>
          <w:lang w:val="en-GB"/>
        </w:rPr>
        <w:t xml:space="preserve"> </w:t>
      </w:r>
    </w:p>
    <w:p w:rsidR="0035584F" w:rsidRPr="00100DA9" w:rsidRDefault="0035584F" w:rsidP="0035584F">
      <w:pPr>
        <w:spacing w:line="276" w:lineRule="auto"/>
        <w:ind w:firstLine="330"/>
        <w:jc w:val="both"/>
        <w:rPr>
          <w:rFonts w:ascii="Calibri" w:hAnsi="Calibri" w:cs="Arial"/>
          <w:sz w:val="22"/>
          <w:szCs w:val="22"/>
          <w:lang w:val="en-GB"/>
        </w:rPr>
      </w:pPr>
    </w:p>
    <w:p w:rsidR="0035584F" w:rsidRPr="00100DA9" w:rsidRDefault="0035584F" w:rsidP="0035584F">
      <w:pPr>
        <w:spacing w:line="276" w:lineRule="auto"/>
        <w:jc w:val="both"/>
        <w:rPr>
          <w:rFonts w:ascii="Calibri" w:hAnsi="Calibri" w:cs="Arial"/>
          <w:sz w:val="22"/>
          <w:szCs w:val="22"/>
          <w:lang w:val="en-GB"/>
        </w:rPr>
      </w:pPr>
      <w:r w:rsidRPr="00100DA9">
        <w:rPr>
          <w:rFonts w:ascii="Calibri" w:hAnsi="Calibri" w:cs="Arial"/>
          <w:sz w:val="22"/>
          <w:szCs w:val="22"/>
          <w:lang w:val="en-GB"/>
        </w:rPr>
        <w:t xml:space="preserve">Table </w:t>
      </w:r>
      <w:r>
        <w:rPr>
          <w:rFonts w:ascii="Calibri" w:hAnsi="Calibri" w:cs="Arial"/>
          <w:sz w:val="22"/>
          <w:szCs w:val="22"/>
          <w:lang w:val="en-GB"/>
        </w:rPr>
        <w:t>11</w:t>
      </w:r>
      <w:r w:rsidRPr="00100DA9">
        <w:rPr>
          <w:rFonts w:ascii="Calibri" w:hAnsi="Calibri" w:cs="Arial"/>
          <w:sz w:val="22"/>
          <w:szCs w:val="22"/>
          <w:lang w:val="en-GB"/>
        </w:rPr>
        <w:t xml:space="preserve"> shows how would the results have been if this precision was not made. Clearly, because Lima is in the highest quintile, it skews the distribution. However, most of the investments in Lima were done in poor districts, therefore would be an inaccurate measure. </w:t>
      </w:r>
    </w:p>
    <w:p w:rsidR="0035584F" w:rsidRPr="00100DA9" w:rsidRDefault="0035584F" w:rsidP="0035584F">
      <w:pPr>
        <w:spacing w:line="276" w:lineRule="auto"/>
        <w:rPr>
          <w:rFonts w:ascii="Calibri" w:hAnsi="Calibri" w:cs="Arial"/>
          <w:sz w:val="22"/>
          <w:szCs w:val="22"/>
          <w:lang w:val="en-GB"/>
        </w:rPr>
      </w:pPr>
    </w:p>
    <w:p w:rsidR="0035584F" w:rsidRPr="009021D1" w:rsidRDefault="0035584F" w:rsidP="0035584F">
      <w:pPr>
        <w:pStyle w:val="Epgrafe"/>
        <w:jc w:val="center"/>
        <w:rPr>
          <w:rFonts w:ascii="Calibri" w:eastAsia="Calibri" w:hAnsi="Calibri"/>
          <w:color w:val="4F81BD"/>
          <w:sz w:val="22"/>
          <w:szCs w:val="22"/>
          <w:lang w:val="en-US" w:eastAsia="en-US"/>
        </w:rPr>
      </w:pPr>
      <w:r w:rsidRPr="009021D1">
        <w:rPr>
          <w:rFonts w:ascii="Calibri" w:eastAsia="Calibri" w:hAnsi="Calibri"/>
          <w:color w:val="4F81BD"/>
          <w:sz w:val="22"/>
          <w:szCs w:val="22"/>
          <w:lang w:val="en-US" w:eastAsia="en-US"/>
        </w:rPr>
        <w:t>Table 11</w:t>
      </w:r>
    </w:p>
    <w:p w:rsidR="0035584F" w:rsidRPr="00F66AA5" w:rsidRDefault="00786AEB" w:rsidP="0035584F">
      <w:pPr>
        <w:spacing w:line="276" w:lineRule="auto"/>
        <w:rPr>
          <w:rFonts w:ascii="Calibri" w:hAnsi="Calibri" w:cs="Arial"/>
          <w:lang w:val="en-GB"/>
        </w:rPr>
      </w:pPr>
      <w:r>
        <w:rPr>
          <w:rFonts w:ascii="Calibri" w:hAnsi="Calibri"/>
          <w:noProof/>
          <w:lang w:val="es-PE" w:eastAsia="es-PE"/>
        </w:rPr>
        <w:drawing>
          <wp:inline distT="0" distB="0" distL="0" distR="0">
            <wp:extent cx="5400040" cy="1009015"/>
            <wp:effectExtent l="19050" t="0" r="0" b="0"/>
            <wp:docPr id="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3"/>
                    <a:srcRect/>
                    <a:stretch>
                      <a:fillRect/>
                    </a:stretch>
                  </pic:blipFill>
                  <pic:spPr bwMode="auto">
                    <a:xfrm>
                      <a:off x="0" y="0"/>
                      <a:ext cx="5400040" cy="1009015"/>
                    </a:xfrm>
                    <a:prstGeom prst="rect">
                      <a:avLst/>
                    </a:prstGeom>
                    <a:noFill/>
                    <a:ln w="9525">
                      <a:noFill/>
                      <a:miter lim="800000"/>
                      <a:headEnd/>
                      <a:tailEnd/>
                    </a:ln>
                  </pic:spPr>
                </pic:pic>
              </a:graphicData>
            </a:graphic>
          </wp:inline>
        </w:drawing>
      </w:r>
    </w:p>
    <w:p w:rsidR="0035584F" w:rsidRPr="009021D1" w:rsidRDefault="0035584F" w:rsidP="0035584F">
      <w:pPr>
        <w:spacing w:line="276" w:lineRule="auto"/>
        <w:jc w:val="both"/>
        <w:rPr>
          <w:rFonts w:ascii="Calibri" w:hAnsi="Calibri" w:cs="Arial"/>
          <w:sz w:val="16"/>
          <w:szCs w:val="16"/>
          <w:lang w:val="en-GB"/>
        </w:rPr>
      </w:pPr>
      <w:r w:rsidRPr="009021D1">
        <w:rPr>
          <w:rFonts w:ascii="Calibri" w:hAnsi="Calibri" w:cs="Arial"/>
          <w:sz w:val="16"/>
          <w:szCs w:val="16"/>
          <w:lang w:val="en-GB"/>
        </w:rPr>
        <w:t>Source: MEF – Transparencia Económica and INEI</w:t>
      </w:r>
    </w:p>
    <w:p w:rsidR="0035584F" w:rsidRDefault="0035584F" w:rsidP="0035584F">
      <w:pPr>
        <w:spacing w:line="276" w:lineRule="auto"/>
        <w:jc w:val="both"/>
        <w:rPr>
          <w:rFonts w:ascii="Calibri" w:hAnsi="Calibri" w:cs="Arial"/>
          <w:sz w:val="22"/>
          <w:szCs w:val="22"/>
          <w:lang w:val="en-GB"/>
        </w:rPr>
      </w:pPr>
    </w:p>
    <w:p w:rsidR="0035584F" w:rsidRPr="00C125D0" w:rsidRDefault="0035584F" w:rsidP="0035584F">
      <w:pPr>
        <w:spacing w:line="276" w:lineRule="auto"/>
        <w:jc w:val="both"/>
        <w:rPr>
          <w:rFonts w:ascii="Calibri" w:hAnsi="Calibri" w:cs="Arial"/>
          <w:sz w:val="22"/>
          <w:szCs w:val="22"/>
          <w:lang w:val="en-GB"/>
        </w:rPr>
      </w:pPr>
      <w:r w:rsidRPr="00C125D0">
        <w:rPr>
          <w:rFonts w:ascii="Calibri" w:hAnsi="Calibri" w:cs="Arial"/>
          <w:sz w:val="22"/>
          <w:szCs w:val="22"/>
          <w:lang w:val="en-GB"/>
        </w:rPr>
        <w:t>The analysis of the previous results gives a broad perspective of the efficiency of the expenditure of the sanitation sector.</w:t>
      </w:r>
      <w:r>
        <w:rPr>
          <w:rFonts w:ascii="Calibri" w:hAnsi="Calibri" w:cs="Arial"/>
          <w:sz w:val="22"/>
          <w:szCs w:val="22"/>
          <w:lang w:val="en-GB"/>
        </w:rPr>
        <w:t xml:space="preserve"> </w:t>
      </w:r>
      <w:r w:rsidRPr="00C125D0">
        <w:rPr>
          <w:rFonts w:ascii="Calibri" w:hAnsi="Calibri" w:cs="Arial"/>
          <w:sz w:val="22"/>
          <w:szCs w:val="22"/>
          <w:lang w:val="en-GB"/>
        </w:rPr>
        <w:t xml:space="preserve">Table </w:t>
      </w:r>
      <w:r>
        <w:rPr>
          <w:rFonts w:ascii="Calibri" w:hAnsi="Calibri" w:cs="Arial"/>
          <w:sz w:val="22"/>
          <w:szCs w:val="22"/>
          <w:lang w:val="en-GB"/>
        </w:rPr>
        <w:t>7</w:t>
      </w:r>
      <w:r w:rsidRPr="00C125D0">
        <w:rPr>
          <w:rFonts w:ascii="Calibri" w:hAnsi="Calibri" w:cs="Arial"/>
          <w:sz w:val="22"/>
          <w:szCs w:val="22"/>
          <w:lang w:val="en-GB"/>
        </w:rPr>
        <w:t xml:space="preserve"> shows that a private connection </w:t>
      </w:r>
      <w:r w:rsidR="003B27EE" w:rsidRPr="00C125D0">
        <w:rPr>
          <w:rFonts w:ascii="Calibri" w:hAnsi="Calibri" w:cs="Arial"/>
          <w:sz w:val="22"/>
          <w:szCs w:val="22"/>
          <w:lang w:val="en-GB"/>
        </w:rPr>
        <w:t xml:space="preserve">is in fact more expensive </w:t>
      </w:r>
      <w:r w:rsidRPr="00C125D0">
        <w:rPr>
          <w:rFonts w:ascii="Calibri" w:hAnsi="Calibri" w:cs="Arial"/>
          <w:sz w:val="22"/>
          <w:szCs w:val="22"/>
          <w:lang w:val="en-GB"/>
        </w:rPr>
        <w:t>than a public one. However, their costs are not considerably different. Private connections are not as expensive where there is a system already in place, such as in big cities because it is only necessary to connect the new pipes to the existing network.</w:t>
      </w:r>
    </w:p>
    <w:p w:rsidR="0035584F" w:rsidRPr="00C125D0" w:rsidRDefault="0035584F" w:rsidP="0035584F">
      <w:pPr>
        <w:spacing w:line="276" w:lineRule="auto"/>
        <w:ind w:firstLine="330"/>
        <w:jc w:val="both"/>
        <w:rPr>
          <w:rFonts w:ascii="Calibri" w:hAnsi="Calibri" w:cs="Arial"/>
          <w:sz w:val="22"/>
          <w:szCs w:val="22"/>
          <w:lang w:val="en-GB"/>
        </w:rPr>
      </w:pPr>
    </w:p>
    <w:p w:rsidR="0035584F" w:rsidRPr="00C125D0" w:rsidRDefault="004616A4" w:rsidP="0035584F">
      <w:pPr>
        <w:spacing w:line="276" w:lineRule="auto"/>
        <w:jc w:val="both"/>
        <w:rPr>
          <w:rFonts w:ascii="Calibri" w:hAnsi="Calibri" w:cs="Arial"/>
          <w:sz w:val="22"/>
          <w:szCs w:val="22"/>
          <w:lang w:val="en-GB"/>
        </w:rPr>
      </w:pPr>
      <w:r>
        <w:rPr>
          <w:rFonts w:ascii="Calibri" w:hAnsi="Calibri" w:cs="Arial"/>
          <w:sz w:val="22"/>
          <w:szCs w:val="22"/>
          <w:lang w:val="en-GB"/>
        </w:rPr>
        <w:t>However, when there is not</w:t>
      </w:r>
      <w:r w:rsidR="0035584F" w:rsidRPr="00C125D0">
        <w:rPr>
          <w:rFonts w:ascii="Calibri" w:hAnsi="Calibri" w:cs="Arial"/>
          <w:sz w:val="22"/>
          <w:szCs w:val="22"/>
          <w:lang w:val="en-GB"/>
        </w:rPr>
        <w:t xml:space="preserve"> the infrastructure needed, it requires a considerable amount invested to set up the network. This is the case of small cities and big rural communities. This raises the cost per connection considerably.</w:t>
      </w:r>
      <w:r w:rsidR="0035584F">
        <w:rPr>
          <w:rFonts w:ascii="Calibri" w:hAnsi="Calibri" w:cs="Arial"/>
          <w:sz w:val="22"/>
          <w:szCs w:val="22"/>
          <w:lang w:val="en-GB"/>
        </w:rPr>
        <w:t xml:space="preserve"> </w:t>
      </w:r>
      <w:r w:rsidR="0035584F" w:rsidRPr="00C125D0">
        <w:rPr>
          <w:rFonts w:ascii="Calibri" w:hAnsi="Calibri" w:cs="Arial"/>
          <w:sz w:val="22"/>
          <w:szCs w:val="22"/>
          <w:lang w:val="en-GB"/>
        </w:rPr>
        <w:t>As an example, in the case of Lima, the biggest EPS that functions in the city itself is SEDAPAL. This firm presents in its “Tabla de Precios”</w:t>
      </w:r>
      <w:r w:rsidR="0035584F" w:rsidRPr="00C125D0">
        <w:rPr>
          <w:rStyle w:val="Refdenotaalpie"/>
          <w:rFonts w:ascii="Calibri" w:hAnsi="Calibri" w:cs="Arial"/>
          <w:sz w:val="22"/>
          <w:szCs w:val="22"/>
          <w:lang w:val="en-GB"/>
        </w:rPr>
        <w:footnoteReference w:id="4"/>
      </w:r>
      <w:r w:rsidR="0035584F" w:rsidRPr="00C125D0">
        <w:rPr>
          <w:rFonts w:ascii="Calibri" w:hAnsi="Calibri" w:cs="Arial"/>
          <w:sz w:val="22"/>
          <w:szCs w:val="22"/>
          <w:lang w:val="en-GB"/>
        </w:rPr>
        <w:t xml:space="preserve"> (</w:t>
      </w:r>
      <w:r w:rsidR="00C97EF1">
        <w:rPr>
          <w:rFonts w:ascii="Calibri" w:hAnsi="Calibri" w:cs="Arial"/>
          <w:sz w:val="22"/>
          <w:szCs w:val="22"/>
          <w:lang w:val="en-GB"/>
        </w:rPr>
        <w:t>Price Schedule)</w:t>
      </w:r>
      <w:r w:rsidR="0035584F" w:rsidRPr="00C125D0">
        <w:rPr>
          <w:rFonts w:ascii="Calibri" w:hAnsi="Calibri" w:cs="Arial"/>
          <w:sz w:val="22"/>
          <w:szCs w:val="22"/>
          <w:lang w:val="en-GB"/>
        </w:rPr>
        <w:t xml:space="preserve"> that a sewerage connection costs 1366.13 Nuevos Soles. Therefor</w:t>
      </w:r>
      <w:r w:rsidR="0035584F">
        <w:rPr>
          <w:rFonts w:ascii="Calibri" w:hAnsi="Calibri" w:cs="Arial"/>
          <w:sz w:val="22"/>
          <w:szCs w:val="22"/>
          <w:lang w:val="en-GB"/>
        </w:rPr>
        <w:t>e</w:t>
      </w:r>
      <w:r w:rsidR="0035584F" w:rsidRPr="00C125D0">
        <w:rPr>
          <w:rFonts w:ascii="Calibri" w:hAnsi="Calibri" w:cs="Arial"/>
          <w:sz w:val="22"/>
          <w:szCs w:val="22"/>
          <w:lang w:val="en-GB"/>
        </w:rPr>
        <w:t xml:space="preserve"> the difference is explained by the cost of building a network, instead of simply connecting one pipe to an already existing one.</w:t>
      </w:r>
    </w:p>
    <w:p w:rsidR="0035584F" w:rsidRPr="00C125D0" w:rsidRDefault="0035584F" w:rsidP="0035584F">
      <w:pPr>
        <w:spacing w:line="276" w:lineRule="auto"/>
        <w:ind w:firstLine="330"/>
        <w:jc w:val="both"/>
        <w:rPr>
          <w:rFonts w:ascii="Calibri" w:hAnsi="Calibri" w:cs="Arial"/>
          <w:sz w:val="22"/>
          <w:szCs w:val="22"/>
          <w:lang w:val="en-GB"/>
        </w:rPr>
      </w:pPr>
    </w:p>
    <w:p w:rsidR="0035584F" w:rsidRPr="00C125D0" w:rsidRDefault="0035584F" w:rsidP="0035584F">
      <w:pPr>
        <w:spacing w:line="276" w:lineRule="auto"/>
        <w:jc w:val="both"/>
        <w:rPr>
          <w:rFonts w:ascii="Calibri" w:hAnsi="Calibri" w:cs="Arial"/>
          <w:sz w:val="22"/>
          <w:szCs w:val="22"/>
          <w:lang w:val="en-GB"/>
        </w:rPr>
      </w:pPr>
      <w:r w:rsidRPr="00C125D0">
        <w:rPr>
          <w:rFonts w:ascii="Calibri" w:hAnsi="Calibri" w:cs="Arial"/>
          <w:sz w:val="22"/>
          <w:szCs w:val="22"/>
          <w:lang w:val="en-GB"/>
        </w:rPr>
        <w:t>In the case of public connections, it includes important costs because water has to be directed to distant and mostly rural areas. This means redirecting rivers, digging wells, etc. However, because one public connection benefits more than one household, the investment required is not as high per connection as in the private case.</w:t>
      </w:r>
    </w:p>
    <w:p w:rsidR="0035584F" w:rsidRPr="00C125D0" w:rsidRDefault="0035584F" w:rsidP="0035584F">
      <w:pPr>
        <w:spacing w:line="276" w:lineRule="auto"/>
        <w:ind w:firstLine="330"/>
        <w:jc w:val="both"/>
        <w:rPr>
          <w:rFonts w:ascii="Calibri" w:hAnsi="Calibri" w:cs="Arial"/>
          <w:sz w:val="22"/>
          <w:szCs w:val="22"/>
          <w:lang w:val="en-GB"/>
        </w:rPr>
      </w:pPr>
      <w:r w:rsidRPr="00C125D0">
        <w:rPr>
          <w:rFonts w:ascii="Calibri" w:hAnsi="Calibri" w:cs="Arial"/>
          <w:sz w:val="22"/>
          <w:szCs w:val="22"/>
          <w:lang w:val="en-GB"/>
        </w:rPr>
        <w:t xml:space="preserve">   </w:t>
      </w:r>
    </w:p>
    <w:p w:rsidR="0035584F" w:rsidRPr="00C125D0" w:rsidRDefault="0035584F" w:rsidP="0035584F">
      <w:pPr>
        <w:spacing w:line="276" w:lineRule="auto"/>
        <w:jc w:val="both"/>
        <w:rPr>
          <w:rFonts w:ascii="Calibri" w:hAnsi="Calibri" w:cs="Arial"/>
          <w:sz w:val="22"/>
          <w:szCs w:val="22"/>
          <w:lang w:val="en-GB"/>
        </w:rPr>
      </w:pPr>
      <w:r>
        <w:rPr>
          <w:rFonts w:ascii="Calibri" w:hAnsi="Calibri" w:cs="Arial"/>
          <w:sz w:val="22"/>
          <w:szCs w:val="22"/>
          <w:lang w:val="en-GB"/>
        </w:rPr>
        <w:t>Table 8</w:t>
      </w:r>
      <w:r w:rsidRPr="00C125D0">
        <w:rPr>
          <w:rFonts w:ascii="Calibri" w:hAnsi="Calibri" w:cs="Arial"/>
          <w:sz w:val="22"/>
          <w:szCs w:val="22"/>
          <w:lang w:val="en-GB"/>
        </w:rPr>
        <w:t xml:space="preserve"> </w:t>
      </w:r>
      <w:r>
        <w:rPr>
          <w:rFonts w:ascii="Calibri" w:hAnsi="Calibri" w:cs="Arial"/>
          <w:sz w:val="22"/>
          <w:szCs w:val="22"/>
          <w:lang w:val="en-GB"/>
        </w:rPr>
        <w:t xml:space="preserve">presents </w:t>
      </w:r>
      <w:r w:rsidRPr="00C125D0">
        <w:rPr>
          <w:rFonts w:ascii="Calibri" w:hAnsi="Calibri" w:cs="Arial"/>
          <w:sz w:val="22"/>
          <w:szCs w:val="22"/>
          <w:lang w:val="en-GB"/>
        </w:rPr>
        <w:t>a clear indicator that richer households tend to consume more water that the ones of lower income. For example, they may have a pool or bigger gardens that demand more water usage. Also, as one would expect, houses with private connections tend to use more water than the ones with public ones. Clearly, the facility of obtaining this resource is in direct relation with the level of usage for every quintile, in most cases by more than double.</w:t>
      </w:r>
      <w:r>
        <w:rPr>
          <w:rFonts w:ascii="Calibri" w:hAnsi="Calibri" w:cs="Arial"/>
          <w:sz w:val="22"/>
          <w:szCs w:val="22"/>
          <w:lang w:val="en-GB"/>
        </w:rPr>
        <w:t xml:space="preserve"> On the other hand, t</w:t>
      </w:r>
      <w:r w:rsidRPr="00C125D0">
        <w:rPr>
          <w:rFonts w:ascii="Calibri" w:hAnsi="Calibri" w:cs="Arial"/>
          <w:sz w:val="22"/>
          <w:szCs w:val="22"/>
          <w:lang w:val="en-GB"/>
        </w:rPr>
        <w:t xml:space="preserve">he poorest households with public connection are the ones that demand the lowest quantity of water. In their case, the expenses of this service are an important percentage of their income. </w:t>
      </w:r>
    </w:p>
    <w:p w:rsidR="0035584F" w:rsidRPr="00C125D0" w:rsidRDefault="0035584F" w:rsidP="0035584F">
      <w:pPr>
        <w:spacing w:line="276" w:lineRule="auto"/>
        <w:ind w:left="708" w:firstLine="330"/>
        <w:jc w:val="both"/>
        <w:rPr>
          <w:rFonts w:ascii="Calibri" w:hAnsi="Calibri" w:cs="Arial"/>
          <w:sz w:val="22"/>
          <w:szCs w:val="22"/>
          <w:lang w:val="en-GB"/>
        </w:rPr>
      </w:pPr>
    </w:p>
    <w:p w:rsidR="0035584F" w:rsidRPr="00C125D0" w:rsidRDefault="0035584F" w:rsidP="0035584F">
      <w:pPr>
        <w:spacing w:line="276" w:lineRule="auto"/>
        <w:jc w:val="both"/>
        <w:rPr>
          <w:rFonts w:ascii="Calibri" w:hAnsi="Calibri" w:cs="Arial"/>
          <w:sz w:val="22"/>
          <w:szCs w:val="22"/>
          <w:lang w:val="en-GB"/>
        </w:rPr>
      </w:pPr>
      <w:r>
        <w:rPr>
          <w:rFonts w:ascii="Calibri" w:hAnsi="Calibri" w:cs="Arial"/>
          <w:sz w:val="22"/>
          <w:szCs w:val="22"/>
          <w:lang w:val="en-GB"/>
        </w:rPr>
        <w:t>Table 9</w:t>
      </w:r>
      <w:r w:rsidRPr="00C125D0">
        <w:rPr>
          <w:rFonts w:ascii="Calibri" w:hAnsi="Calibri" w:cs="Arial"/>
          <w:sz w:val="22"/>
          <w:szCs w:val="22"/>
          <w:lang w:val="en-GB"/>
        </w:rPr>
        <w:t xml:space="preserve"> shows that the price is not linear. There are thresholds in which beyond that level of consumption, the price charged changes. Therefore, the highest quintile pays considerable more than the others. Finally, Table </w:t>
      </w:r>
      <w:r>
        <w:rPr>
          <w:rFonts w:ascii="Calibri" w:hAnsi="Calibri" w:cs="Arial"/>
          <w:sz w:val="22"/>
          <w:szCs w:val="22"/>
          <w:lang w:val="en-GB"/>
        </w:rPr>
        <w:t>10</w:t>
      </w:r>
      <w:r w:rsidRPr="00C125D0">
        <w:rPr>
          <w:rFonts w:ascii="Calibri" w:hAnsi="Calibri" w:cs="Arial"/>
          <w:sz w:val="22"/>
          <w:szCs w:val="22"/>
          <w:lang w:val="en-GB"/>
        </w:rPr>
        <w:t xml:space="preserve"> indicates where the expenditure of this sector is going.  It is mainly focused in private connections, which implies a better standard of living. </w:t>
      </w:r>
    </w:p>
    <w:p w:rsidR="0035584F" w:rsidRPr="00C125D0" w:rsidRDefault="0035584F" w:rsidP="0035584F">
      <w:pPr>
        <w:spacing w:line="276" w:lineRule="auto"/>
        <w:ind w:firstLine="330"/>
        <w:jc w:val="both"/>
        <w:rPr>
          <w:rFonts w:ascii="Calibri" w:hAnsi="Calibri" w:cs="Arial"/>
          <w:sz w:val="22"/>
          <w:szCs w:val="22"/>
          <w:lang w:val="en-GB"/>
        </w:rPr>
      </w:pPr>
    </w:p>
    <w:p w:rsidR="0035584F" w:rsidRPr="00C125D0" w:rsidRDefault="0035584F" w:rsidP="0035584F">
      <w:pPr>
        <w:spacing w:line="276" w:lineRule="auto"/>
        <w:jc w:val="both"/>
        <w:rPr>
          <w:rFonts w:ascii="Calibri" w:hAnsi="Calibri" w:cs="Arial"/>
          <w:sz w:val="22"/>
          <w:szCs w:val="22"/>
          <w:lang w:val="en-GB"/>
        </w:rPr>
      </w:pPr>
      <w:r w:rsidRPr="00C125D0">
        <w:rPr>
          <w:rFonts w:ascii="Calibri" w:hAnsi="Calibri" w:cs="Arial"/>
          <w:sz w:val="22"/>
          <w:szCs w:val="22"/>
          <w:lang w:val="en-GB"/>
        </w:rPr>
        <w:t>However, it is relevant to notice that the lowest quintile receives far less that the second lowest in terms of private connections, although they have more invested in public connections than any other category. This might mean that for the first quintile, it is more cost effective to provide the service t</w:t>
      </w:r>
      <w:r>
        <w:rPr>
          <w:rFonts w:ascii="Calibri" w:hAnsi="Calibri" w:cs="Arial"/>
          <w:sz w:val="22"/>
          <w:szCs w:val="22"/>
          <w:lang w:val="en-GB"/>
        </w:rPr>
        <w:t>h</w:t>
      </w:r>
      <w:r w:rsidRPr="00C125D0">
        <w:rPr>
          <w:rFonts w:ascii="Calibri" w:hAnsi="Calibri" w:cs="Arial"/>
          <w:sz w:val="22"/>
          <w:szCs w:val="22"/>
          <w:lang w:val="en-GB"/>
        </w:rPr>
        <w:t xml:space="preserve">rough public connections. </w:t>
      </w:r>
    </w:p>
    <w:p w:rsidR="0035584F" w:rsidRPr="00C125D0" w:rsidRDefault="0035584F" w:rsidP="0035584F">
      <w:pPr>
        <w:spacing w:line="276" w:lineRule="auto"/>
        <w:ind w:firstLine="330"/>
        <w:jc w:val="both"/>
        <w:rPr>
          <w:rFonts w:ascii="Calibri" w:hAnsi="Calibri" w:cs="Arial"/>
          <w:sz w:val="22"/>
          <w:szCs w:val="22"/>
          <w:lang w:val="en-GB"/>
        </w:rPr>
      </w:pPr>
    </w:p>
    <w:p w:rsidR="0035584F" w:rsidRDefault="0035584F" w:rsidP="0035584F">
      <w:pPr>
        <w:spacing w:line="276" w:lineRule="auto"/>
        <w:jc w:val="both"/>
        <w:rPr>
          <w:rFonts w:ascii="Calibri" w:hAnsi="Calibri" w:cs="Arial"/>
          <w:sz w:val="22"/>
          <w:szCs w:val="22"/>
          <w:lang w:val="en-GB"/>
        </w:rPr>
      </w:pPr>
      <w:r w:rsidRPr="00C125D0">
        <w:rPr>
          <w:rFonts w:ascii="Calibri" w:hAnsi="Calibri" w:cs="Arial"/>
          <w:sz w:val="22"/>
          <w:szCs w:val="22"/>
          <w:lang w:val="en-GB"/>
        </w:rPr>
        <w:t>In the case of a distant rural community, the cost of a private connection project might be too high so the alternative to zero provision is public connections. The second and third quintiles on the other hand, might be more focused in small cities or rural communities near big cities. Therefore is more feasible to provide them with private connections. The highest quintile</w:t>
      </w:r>
      <w:r>
        <w:rPr>
          <w:rFonts w:ascii="Calibri" w:hAnsi="Calibri" w:cs="Arial"/>
          <w:sz w:val="22"/>
          <w:szCs w:val="22"/>
          <w:lang w:val="en-GB"/>
        </w:rPr>
        <w:t>,</w:t>
      </w:r>
      <w:r w:rsidRPr="00C125D0">
        <w:rPr>
          <w:rFonts w:ascii="Calibri" w:hAnsi="Calibri" w:cs="Arial"/>
          <w:sz w:val="22"/>
          <w:szCs w:val="22"/>
          <w:lang w:val="en-GB"/>
        </w:rPr>
        <w:t xml:space="preserve"> on the other hand</w:t>
      </w:r>
      <w:r>
        <w:rPr>
          <w:rFonts w:ascii="Calibri" w:hAnsi="Calibri" w:cs="Arial"/>
          <w:sz w:val="22"/>
          <w:szCs w:val="22"/>
          <w:lang w:val="en-GB"/>
        </w:rPr>
        <w:t>,</w:t>
      </w:r>
      <w:r w:rsidRPr="00C125D0">
        <w:rPr>
          <w:rFonts w:ascii="Calibri" w:hAnsi="Calibri" w:cs="Arial"/>
          <w:sz w:val="22"/>
          <w:szCs w:val="22"/>
          <w:lang w:val="en-GB"/>
        </w:rPr>
        <w:t xml:space="preserve"> receives the least amount of expenditure, which is consistent with the fact that they do not need it because the live in areas where this service is already in place. </w:t>
      </w:r>
    </w:p>
    <w:p w:rsidR="0035584F" w:rsidRPr="0035584F" w:rsidRDefault="0035584F" w:rsidP="00AE47AE">
      <w:pPr>
        <w:jc w:val="both"/>
        <w:rPr>
          <w:rFonts w:ascii="Calibri" w:eastAsia="Calibri" w:hAnsi="Calibri"/>
          <w:bCs/>
          <w:sz w:val="22"/>
          <w:szCs w:val="20"/>
          <w:lang w:val="en-GB" w:eastAsia="en-US"/>
        </w:rPr>
      </w:pPr>
    </w:p>
    <w:p w:rsidR="00B746EC" w:rsidRPr="00AA6021" w:rsidRDefault="00B746EC" w:rsidP="00AA6021">
      <w:pPr>
        <w:pStyle w:val="Ttulo2"/>
        <w:numPr>
          <w:ilvl w:val="0"/>
          <w:numId w:val="19"/>
        </w:numPr>
        <w:spacing w:before="0"/>
        <w:rPr>
          <w:rStyle w:val="nfasisintenso"/>
          <w:lang w:val="en-US"/>
        </w:rPr>
      </w:pPr>
      <w:bookmarkStart w:id="25" w:name="_Toc254912259"/>
      <w:bookmarkStart w:id="26" w:name="_Toc245908069"/>
      <w:bookmarkStart w:id="27" w:name="_Toc246146221"/>
      <w:r w:rsidRPr="00AA6021">
        <w:rPr>
          <w:rStyle w:val="nfasisintenso"/>
          <w:lang w:val="en-US"/>
        </w:rPr>
        <w:t>Assumptions made</w:t>
      </w:r>
      <w:bookmarkEnd w:id="25"/>
    </w:p>
    <w:p w:rsidR="00B746EC" w:rsidRDefault="00B746EC" w:rsidP="00B746EC">
      <w:pPr>
        <w:spacing w:line="276" w:lineRule="auto"/>
        <w:jc w:val="both"/>
        <w:rPr>
          <w:rFonts w:ascii="Calibri" w:hAnsi="Calibri" w:cs="Arial"/>
          <w:sz w:val="22"/>
          <w:szCs w:val="22"/>
          <w:lang w:val="en-GB"/>
        </w:rPr>
      </w:pPr>
    </w:p>
    <w:p w:rsidR="00B746EC" w:rsidRPr="00E95636" w:rsidRDefault="00B746EC" w:rsidP="00B746EC">
      <w:pPr>
        <w:spacing w:line="276" w:lineRule="auto"/>
        <w:jc w:val="both"/>
        <w:rPr>
          <w:rFonts w:ascii="Calibri" w:hAnsi="Calibri" w:cs="Arial"/>
          <w:sz w:val="22"/>
          <w:szCs w:val="22"/>
          <w:lang w:val="en-GB"/>
        </w:rPr>
      </w:pPr>
      <w:r w:rsidRPr="00E95636">
        <w:rPr>
          <w:rFonts w:ascii="Calibri" w:hAnsi="Calibri" w:cs="Arial"/>
          <w:sz w:val="22"/>
          <w:szCs w:val="22"/>
          <w:lang w:val="en-GB"/>
        </w:rPr>
        <w:t xml:space="preserve">The first assumption made was that for Table </w:t>
      </w:r>
      <w:r>
        <w:rPr>
          <w:rFonts w:ascii="Calibri" w:hAnsi="Calibri" w:cs="Arial"/>
          <w:sz w:val="22"/>
          <w:szCs w:val="22"/>
          <w:lang w:val="en-GB"/>
        </w:rPr>
        <w:t>7</w:t>
      </w:r>
      <w:r w:rsidRPr="00E95636">
        <w:rPr>
          <w:rFonts w:ascii="Calibri" w:hAnsi="Calibri" w:cs="Arial"/>
          <w:sz w:val="22"/>
          <w:szCs w:val="22"/>
          <w:lang w:val="en-GB"/>
        </w:rPr>
        <w:t>, the different projects were grouped together into the broad categories of public and private. For example, the cost of a private connection in Lima (which is mostly an urban area and is the capital) is quite different from one in Ayacucho (a rural department with a low level of income).</w:t>
      </w:r>
      <w:r>
        <w:rPr>
          <w:rFonts w:ascii="Calibri" w:hAnsi="Calibri" w:cs="Arial"/>
          <w:sz w:val="22"/>
          <w:szCs w:val="22"/>
          <w:lang w:val="en-GB"/>
        </w:rPr>
        <w:t xml:space="preserve"> </w:t>
      </w:r>
      <w:r w:rsidRPr="00E95636">
        <w:rPr>
          <w:rFonts w:ascii="Calibri" w:hAnsi="Calibri" w:cs="Arial"/>
          <w:sz w:val="22"/>
          <w:szCs w:val="22"/>
          <w:lang w:val="en-GB"/>
        </w:rPr>
        <w:t>Also, another point is that these estimates do not only include the cost of installing the connections. They also take in consideration rehabilitation of previous connections and the t</w:t>
      </w:r>
      <w:r w:rsidR="008F6651">
        <w:rPr>
          <w:rFonts w:ascii="Calibri" w:hAnsi="Calibri" w:cs="Arial"/>
          <w:sz w:val="22"/>
          <w:szCs w:val="22"/>
          <w:lang w:val="en-GB"/>
        </w:rPr>
        <w:t>r</w:t>
      </w:r>
      <w:r w:rsidRPr="00E95636">
        <w:rPr>
          <w:rFonts w:ascii="Calibri" w:hAnsi="Calibri" w:cs="Arial"/>
          <w:sz w:val="22"/>
          <w:szCs w:val="22"/>
          <w:lang w:val="en-GB"/>
        </w:rPr>
        <w:t>ai</w:t>
      </w:r>
      <w:r w:rsidR="008F6651">
        <w:rPr>
          <w:rFonts w:ascii="Calibri" w:hAnsi="Calibri" w:cs="Arial"/>
          <w:sz w:val="22"/>
          <w:szCs w:val="22"/>
          <w:lang w:val="en-GB"/>
        </w:rPr>
        <w:t>ni</w:t>
      </w:r>
      <w:r w:rsidRPr="00E95636">
        <w:rPr>
          <w:rFonts w:ascii="Calibri" w:hAnsi="Calibri" w:cs="Arial"/>
          <w:sz w:val="22"/>
          <w:szCs w:val="22"/>
          <w:lang w:val="en-GB"/>
        </w:rPr>
        <w:t>ng EPS employees to operate them.</w:t>
      </w:r>
    </w:p>
    <w:p w:rsidR="00B746EC" w:rsidRPr="00E95636" w:rsidRDefault="00B746EC" w:rsidP="00B746EC">
      <w:pPr>
        <w:spacing w:line="276" w:lineRule="auto"/>
        <w:ind w:firstLine="330"/>
        <w:jc w:val="both"/>
        <w:rPr>
          <w:rFonts w:ascii="Calibri" w:hAnsi="Calibri" w:cs="Arial"/>
          <w:sz w:val="22"/>
          <w:szCs w:val="22"/>
          <w:lang w:val="en-GB"/>
        </w:rPr>
      </w:pPr>
    </w:p>
    <w:p w:rsidR="00B746EC" w:rsidRPr="00E95636" w:rsidRDefault="008F6651" w:rsidP="00B746EC">
      <w:pPr>
        <w:spacing w:line="276" w:lineRule="auto"/>
        <w:jc w:val="both"/>
        <w:rPr>
          <w:rFonts w:ascii="Calibri" w:hAnsi="Calibri" w:cs="Arial"/>
          <w:sz w:val="22"/>
          <w:szCs w:val="22"/>
          <w:lang w:val="en-GB"/>
        </w:rPr>
      </w:pPr>
      <w:r>
        <w:rPr>
          <w:rFonts w:ascii="Calibri" w:hAnsi="Calibri" w:cs="Arial"/>
          <w:sz w:val="22"/>
          <w:szCs w:val="22"/>
          <w:lang w:val="en-GB"/>
        </w:rPr>
        <w:t xml:space="preserve">In </w:t>
      </w:r>
      <w:r w:rsidR="00B746EC" w:rsidRPr="00E95636">
        <w:rPr>
          <w:rFonts w:ascii="Calibri" w:hAnsi="Calibri" w:cs="Arial"/>
          <w:sz w:val="22"/>
          <w:szCs w:val="22"/>
          <w:lang w:val="en-GB"/>
        </w:rPr>
        <w:t xml:space="preserve">Table </w:t>
      </w:r>
      <w:r w:rsidR="00B746EC">
        <w:rPr>
          <w:rFonts w:ascii="Calibri" w:hAnsi="Calibri" w:cs="Arial"/>
          <w:sz w:val="22"/>
          <w:szCs w:val="22"/>
          <w:lang w:val="en-GB"/>
        </w:rPr>
        <w:t>8</w:t>
      </w:r>
      <w:r w:rsidR="00B746EC" w:rsidRPr="00E95636">
        <w:rPr>
          <w:rFonts w:ascii="Calibri" w:hAnsi="Calibri" w:cs="Arial"/>
          <w:sz w:val="22"/>
          <w:szCs w:val="22"/>
          <w:lang w:val="en-GB"/>
        </w:rPr>
        <w:t xml:space="preserve"> </w:t>
      </w:r>
      <w:r>
        <w:rPr>
          <w:rFonts w:ascii="Calibri" w:hAnsi="Calibri" w:cs="Arial"/>
          <w:sz w:val="22"/>
          <w:szCs w:val="22"/>
          <w:lang w:val="en-GB"/>
        </w:rPr>
        <w:t xml:space="preserve">we assume </w:t>
      </w:r>
      <w:r w:rsidR="00B746EC" w:rsidRPr="00E95636">
        <w:rPr>
          <w:rFonts w:ascii="Calibri" w:hAnsi="Calibri" w:cs="Arial"/>
          <w:sz w:val="22"/>
          <w:szCs w:val="22"/>
          <w:lang w:val="en-GB"/>
        </w:rPr>
        <w:t xml:space="preserve">that </w:t>
      </w:r>
      <w:r>
        <w:rPr>
          <w:rFonts w:ascii="Calibri" w:hAnsi="Calibri" w:cs="Arial"/>
          <w:sz w:val="22"/>
          <w:szCs w:val="22"/>
          <w:lang w:val="en-GB"/>
        </w:rPr>
        <w:t>to compute an average price</w:t>
      </w:r>
      <w:r w:rsidR="00B746EC" w:rsidRPr="00E95636">
        <w:rPr>
          <w:rFonts w:ascii="Calibri" w:hAnsi="Calibri" w:cs="Arial"/>
          <w:sz w:val="22"/>
          <w:szCs w:val="22"/>
          <w:lang w:val="en-GB"/>
        </w:rPr>
        <w:t xml:space="preserve"> in departments </w:t>
      </w:r>
      <w:r>
        <w:rPr>
          <w:rFonts w:ascii="Calibri" w:hAnsi="Calibri" w:cs="Arial"/>
          <w:sz w:val="22"/>
          <w:szCs w:val="22"/>
          <w:lang w:val="en-GB"/>
        </w:rPr>
        <w:t xml:space="preserve">with </w:t>
      </w:r>
      <w:r w:rsidR="00B746EC" w:rsidRPr="00E95636">
        <w:rPr>
          <w:rFonts w:ascii="Calibri" w:hAnsi="Calibri" w:cs="Arial"/>
          <w:sz w:val="22"/>
          <w:szCs w:val="22"/>
          <w:lang w:val="en-GB"/>
        </w:rPr>
        <w:t>more than one EPS</w:t>
      </w:r>
      <w:r>
        <w:rPr>
          <w:rFonts w:ascii="Calibri" w:hAnsi="Calibri" w:cs="Arial"/>
          <w:sz w:val="22"/>
          <w:szCs w:val="22"/>
          <w:lang w:val="en-GB"/>
        </w:rPr>
        <w:t xml:space="preserve"> </w:t>
      </w:r>
      <w:r w:rsidR="002A411A">
        <w:rPr>
          <w:rFonts w:ascii="Calibri" w:hAnsi="Calibri" w:cs="Arial"/>
          <w:sz w:val="22"/>
          <w:szCs w:val="22"/>
          <w:lang w:val="en-GB"/>
        </w:rPr>
        <w:t xml:space="preserve">we must </w:t>
      </w:r>
      <w:r>
        <w:rPr>
          <w:rFonts w:ascii="Calibri" w:hAnsi="Calibri" w:cs="Arial"/>
          <w:sz w:val="22"/>
          <w:szCs w:val="22"/>
          <w:lang w:val="en-GB"/>
        </w:rPr>
        <w:t xml:space="preserve">use as </w:t>
      </w:r>
      <w:r w:rsidR="00B746EC" w:rsidRPr="00E95636">
        <w:rPr>
          <w:rFonts w:ascii="Calibri" w:hAnsi="Calibri" w:cs="Arial"/>
          <w:sz w:val="22"/>
          <w:szCs w:val="22"/>
          <w:lang w:val="en-GB"/>
        </w:rPr>
        <w:t xml:space="preserve">weights the number of connections </w:t>
      </w:r>
      <w:r w:rsidR="002A411A">
        <w:rPr>
          <w:rFonts w:ascii="Calibri" w:hAnsi="Calibri" w:cs="Arial"/>
          <w:sz w:val="22"/>
          <w:szCs w:val="22"/>
          <w:lang w:val="en-GB"/>
        </w:rPr>
        <w:t xml:space="preserve">of </w:t>
      </w:r>
      <w:r w:rsidR="00B746EC" w:rsidRPr="00E95636">
        <w:rPr>
          <w:rFonts w:ascii="Calibri" w:hAnsi="Calibri" w:cs="Arial"/>
          <w:sz w:val="22"/>
          <w:szCs w:val="22"/>
          <w:lang w:val="en-GB"/>
        </w:rPr>
        <w:t>each EPS.</w:t>
      </w:r>
      <w:r w:rsidR="00B746EC">
        <w:rPr>
          <w:rFonts w:ascii="Calibri" w:hAnsi="Calibri" w:cs="Arial"/>
          <w:sz w:val="22"/>
          <w:szCs w:val="22"/>
          <w:lang w:val="en-GB"/>
        </w:rPr>
        <w:t xml:space="preserve"> </w:t>
      </w:r>
      <w:r w:rsidR="00B746EC" w:rsidRPr="00E95636">
        <w:rPr>
          <w:rFonts w:ascii="Calibri" w:hAnsi="Calibri" w:cs="Arial"/>
          <w:sz w:val="22"/>
          <w:szCs w:val="22"/>
          <w:lang w:val="en-GB"/>
        </w:rPr>
        <w:t xml:space="preserve">However, the number of connections is not necessarily equal to the number of people that pay </w:t>
      </w:r>
      <w:r>
        <w:rPr>
          <w:rFonts w:ascii="Calibri" w:hAnsi="Calibri" w:cs="Arial"/>
          <w:sz w:val="22"/>
          <w:szCs w:val="22"/>
          <w:lang w:val="en-GB"/>
        </w:rPr>
        <w:t>the EPS</w:t>
      </w:r>
      <w:r w:rsidR="00B746EC" w:rsidRPr="00E95636">
        <w:rPr>
          <w:rFonts w:ascii="Calibri" w:hAnsi="Calibri" w:cs="Arial"/>
          <w:sz w:val="22"/>
          <w:szCs w:val="22"/>
          <w:lang w:val="en-GB"/>
        </w:rPr>
        <w:t xml:space="preserve"> price. For example, in the case of public connections, only a few people may actually use them so their importance is lesser than supposed. </w:t>
      </w:r>
    </w:p>
    <w:p w:rsidR="00B746EC" w:rsidRPr="00E95636" w:rsidRDefault="00B746EC" w:rsidP="00B746EC">
      <w:pPr>
        <w:spacing w:line="276" w:lineRule="auto"/>
        <w:ind w:firstLine="329"/>
        <w:jc w:val="both"/>
        <w:rPr>
          <w:rFonts w:ascii="Calibri" w:hAnsi="Calibri" w:cs="Arial"/>
          <w:sz w:val="22"/>
          <w:szCs w:val="22"/>
          <w:lang w:val="en-GB"/>
        </w:rPr>
      </w:pPr>
    </w:p>
    <w:p w:rsidR="002A411A" w:rsidRDefault="00B746EC" w:rsidP="002A411A">
      <w:pPr>
        <w:spacing w:line="276" w:lineRule="auto"/>
        <w:jc w:val="both"/>
        <w:rPr>
          <w:rFonts w:ascii="Calibri" w:hAnsi="Calibri" w:cs="Arial"/>
          <w:sz w:val="22"/>
          <w:szCs w:val="22"/>
          <w:lang w:val="en-GB"/>
        </w:rPr>
      </w:pPr>
      <w:r w:rsidRPr="00E95636">
        <w:rPr>
          <w:rFonts w:ascii="Calibri" w:hAnsi="Calibri" w:cs="Arial"/>
          <w:sz w:val="22"/>
          <w:szCs w:val="22"/>
          <w:lang w:val="en-GB"/>
        </w:rPr>
        <w:t xml:space="preserve">In the case of Table </w:t>
      </w:r>
      <w:r>
        <w:rPr>
          <w:rFonts w:ascii="Calibri" w:hAnsi="Calibri" w:cs="Arial"/>
          <w:sz w:val="22"/>
          <w:szCs w:val="22"/>
          <w:lang w:val="en-GB"/>
        </w:rPr>
        <w:t>10</w:t>
      </w:r>
      <w:r w:rsidRPr="00E95636">
        <w:rPr>
          <w:rFonts w:ascii="Calibri" w:hAnsi="Calibri" w:cs="Arial"/>
          <w:sz w:val="22"/>
          <w:szCs w:val="22"/>
          <w:lang w:val="en-GB"/>
        </w:rPr>
        <w:t xml:space="preserve">, </w:t>
      </w:r>
      <w:r w:rsidR="002A411A">
        <w:rPr>
          <w:rFonts w:ascii="Calibri" w:hAnsi="Calibri" w:cs="Arial"/>
          <w:sz w:val="22"/>
          <w:szCs w:val="22"/>
          <w:lang w:val="en-GB"/>
        </w:rPr>
        <w:t xml:space="preserve">we assume </w:t>
      </w:r>
      <w:r w:rsidRPr="00E95636">
        <w:rPr>
          <w:rFonts w:ascii="Calibri" w:hAnsi="Calibri" w:cs="Arial"/>
          <w:sz w:val="22"/>
          <w:szCs w:val="22"/>
          <w:lang w:val="en-GB"/>
        </w:rPr>
        <w:t>that the G</w:t>
      </w:r>
      <w:r w:rsidR="002A411A">
        <w:rPr>
          <w:rFonts w:ascii="Calibri" w:hAnsi="Calibri" w:cs="Arial"/>
          <w:sz w:val="22"/>
          <w:szCs w:val="22"/>
          <w:lang w:val="en-GB"/>
        </w:rPr>
        <w:t>D</w:t>
      </w:r>
      <w:r w:rsidRPr="00E95636">
        <w:rPr>
          <w:rFonts w:ascii="Calibri" w:hAnsi="Calibri" w:cs="Arial"/>
          <w:sz w:val="22"/>
          <w:szCs w:val="22"/>
          <w:lang w:val="en-GB"/>
        </w:rPr>
        <w:t xml:space="preserve">P of each department (except in the case of Lima) is a good indicator of the overall income </w:t>
      </w:r>
      <w:r w:rsidR="002A411A" w:rsidRPr="00E95636">
        <w:rPr>
          <w:rFonts w:ascii="Calibri" w:hAnsi="Calibri" w:cs="Arial"/>
          <w:sz w:val="22"/>
          <w:szCs w:val="22"/>
          <w:lang w:val="en-GB"/>
        </w:rPr>
        <w:t xml:space="preserve">level </w:t>
      </w:r>
      <w:r w:rsidRPr="00E95636">
        <w:rPr>
          <w:rFonts w:ascii="Calibri" w:hAnsi="Calibri" w:cs="Arial"/>
          <w:sz w:val="22"/>
          <w:szCs w:val="22"/>
          <w:lang w:val="en-GB"/>
        </w:rPr>
        <w:t>for the people who live there. To see in which quintile corresponds to which department, see the annex II. In general it could be a useful simplification. However, in certain cases, such as in mining departments, their income is considerably</w:t>
      </w:r>
      <w:r w:rsidR="002A411A">
        <w:rPr>
          <w:rFonts w:ascii="Calibri" w:hAnsi="Calibri" w:cs="Arial"/>
          <w:sz w:val="22"/>
          <w:szCs w:val="22"/>
          <w:lang w:val="en-GB"/>
        </w:rPr>
        <w:t xml:space="preserve"> skewed within the department</w:t>
      </w:r>
      <w:r w:rsidRPr="00E95636">
        <w:rPr>
          <w:rFonts w:ascii="Calibri" w:hAnsi="Calibri" w:cs="Arial"/>
          <w:sz w:val="22"/>
          <w:szCs w:val="22"/>
          <w:lang w:val="en-GB"/>
        </w:rPr>
        <w:t xml:space="preserve">. This is mitigated by the fact that individual ordering is not as relevant because quintiles are used. </w:t>
      </w:r>
      <w:r w:rsidR="002A411A">
        <w:rPr>
          <w:rFonts w:ascii="Calibri" w:hAnsi="Calibri" w:cs="Arial"/>
          <w:sz w:val="22"/>
          <w:szCs w:val="22"/>
          <w:lang w:val="en-GB"/>
        </w:rPr>
        <w:t xml:space="preserve"> </w:t>
      </w:r>
      <w:r w:rsidRPr="00E95636">
        <w:rPr>
          <w:rFonts w:ascii="Calibri" w:hAnsi="Calibri" w:cs="Arial"/>
          <w:sz w:val="22"/>
          <w:szCs w:val="22"/>
          <w:lang w:val="en-GB"/>
        </w:rPr>
        <w:t>For Lima, due to the fact that almost a third of the population of Peru lives in this department, it was relevant to go into a more detail. Also, Lima as a department is in the highest expenditure quintile but the investments made benefited the poorest districts so it could have skewed the results.</w:t>
      </w:r>
      <w:r w:rsidR="002A411A">
        <w:rPr>
          <w:rFonts w:ascii="Calibri" w:hAnsi="Calibri" w:cs="Arial"/>
          <w:sz w:val="22"/>
          <w:szCs w:val="22"/>
          <w:lang w:val="en-GB"/>
        </w:rPr>
        <w:br w:type="page"/>
      </w:r>
    </w:p>
    <w:p w:rsidR="000F4CF6" w:rsidRPr="000F4CF6" w:rsidRDefault="000F4CF6" w:rsidP="00B746EC">
      <w:pPr>
        <w:spacing w:line="276" w:lineRule="auto"/>
        <w:jc w:val="both"/>
        <w:rPr>
          <w:rFonts w:ascii="Calibri" w:hAnsi="Calibri" w:cs="Arial"/>
          <w:sz w:val="16"/>
          <w:szCs w:val="16"/>
          <w:lang w:val="en-GB"/>
        </w:rPr>
      </w:pPr>
    </w:p>
    <w:p w:rsidR="003E4D04" w:rsidRDefault="003E4D04" w:rsidP="000F4CF6">
      <w:pPr>
        <w:pStyle w:val="Graciela1"/>
        <w:spacing w:before="0"/>
        <w:rPr>
          <w:kern w:val="0"/>
          <w:lang w:eastAsia="en-US"/>
        </w:rPr>
      </w:pPr>
      <w:bookmarkStart w:id="28" w:name="_Toc254912260"/>
      <w:bookmarkEnd w:id="26"/>
      <w:bookmarkEnd w:id="27"/>
      <w:r w:rsidRPr="00F33077">
        <w:rPr>
          <w:kern w:val="0"/>
          <w:lang w:eastAsia="en-US"/>
        </w:rPr>
        <w:t>IV. Conclusions</w:t>
      </w:r>
      <w:r w:rsidR="00EE7B81">
        <w:rPr>
          <w:kern w:val="0"/>
          <w:lang w:eastAsia="en-US"/>
        </w:rPr>
        <w:t xml:space="preserve"> and Policy Implications</w:t>
      </w:r>
      <w:bookmarkEnd w:id="28"/>
    </w:p>
    <w:p w:rsidR="000F4CF6" w:rsidRDefault="000F4CF6" w:rsidP="000F4CF6">
      <w:pPr>
        <w:rPr>
          <w:lang w:val="en-US" w:eastAsia="en-US"/>
        </w:rPr>
      </w:pPr>
    </w:p>
    <w:p w:rsidR="005E5B4F" w:rsidRDefault="00D94834" w:rsidP="00423D7F">
      <w:pPr>
        <w:spacing w:line="276" w:lineRule="auto"/>
        <w:jc w:val="both"/>
        <w:rPr>
          <w:rFonts w:ascii="Calibri" w:hAnsi="Calibri"/>
          <w:sz w:val="22"/>
          <w:szCs w:val="22"/>
          <w:lang w:val="en-US" w:eastAsia="en-US"/>
        </w:rPr>
      </w:pPr>
      <w:r w:rsidRPr="0002780C">
        <w:rPr>
          <w:rFonts w:ascii="Calibri" w:hAnsi="Calibri"/>
          <w:sz w:val="22"/>
          <w:szCs w:val="22"/>
          <w:lang w:val="en-US" w:eastAsia="en-US"/>
        </w:rPr>
        <w:t xml:space="preserve">Social </w:t>
      </w:r>
      <w:r w:rsidR="006D1673" w:rsidRPr="0002780C">
        <w:rPr>
          <w:rFonts w:ascii="Calibri" w:hAnsi="Calibri"/>
          <w:sz w:val="22"/>
          <w:szCs w:val="22"/>
          <w:lang w:val="en-US" w:eastAsia="en-US"/>
        </w:rPr>
        <w:t>inequality</w:t>
      </w:r>
      <w:r w:rsidR="005E5B4F">
        <w:rPr>
          <w:rFonts w:ascii="Calibri" w:hAnsi="Calibri"/>
          <w:sz w:val="22"/>
          <w:szCs w:val="22"/>
          <w:lang w:val="en-US" w:eastAsia="en-US"/>
        </w:rPr>
        <w:t xml:space="preserve"> can also be perceived regarding water and sanitation </w:t>
      </w:r>
      <w:r w:rsidR="008C272B">
        <w:rPr>
          <w:rFonts w:ascii="Calibri" w:hAnsi="Calibri"/>
          <w:sz w:val="22"/>
          <w:szCs w:val="22"/>
          <w:lang w:val="en-US" w:eastAsia="en-US"/>
        </w:rPr>
        <w:t>conditions</w:t>
      </w:r>
      <w:r w:rsidR="005E5B4F">
        <w:rPr>
          <w:rFonts w:ascii="Calibri" w:hAnsi="Calibri"/>
          <w:sz w:val="22"/>
          <w:szCs w:val="22"/>
          <w:lang w:val="en-US" w:eastAsia="en-US"/>
        </w:rPr>
        <w:t>. There are significant differences between urban and rural areas</w:t>
      </w:r>
      <w:r w:rsidR="008C272B">
        <w:rPr>
          <w:rFonts w:ascii="Calibri" w:hAnsi="Calibri"/>
          <w:sz w:val="22"/>
          <w:szCs w:val="22"/>
          <w:lang w:val="en-US" w:eastAsia="en-US"/>
        </w:rPr>
        <w:t xml:space="preserve"> that are quite difficult to solve given geographical restrictions and household habit changes implied</w:t>
      </w:r>
      <w:r w:rsidR="008D224E">
        <w:rPr>
          <w:rFonts w:ascii="Calibri" w:hAnsi="Calibri"/>
          <w:sz w:val="22"/>
          <w:szCs w:val="22"/>
          <w:lang w:val="en-US" w:eastAsia="en-US"/>
        </w:rPr>
        <w:t>. Nevertheless, in the last y</w:t>
      </w:r>
      <w:r w:rsidR="00436D42">
        <w:rPr>
          <w:rFonts w:ascii="Calibri" w:hAnsi="Calibri"/>
          <w:sz w:val="22"/>
          <w:szCs w:val="22"/>
          <w:lang w:val="en-US" w:eastAsia="en-US"/>
        </w:rPr>
        <w:t xml:space="preserve">ears the government efforts to improve </w:t>
      </w:r>
      <w:r w:rsidR="00470EA0">
        <w:rPr>
          <w:rFonts w:ascii="Calibri" w:hAnsi="Calibri"/>
          <w:sz w:val="22"/>
          <w:szCs w:val="22"/>
          <w:lang w:val="en-US" w:eastAsia="en-US"/>
        </w:rPr>
        <w:t>water and sanitation</w:t>
      </w:r>
      <w:r w:rsidR="00436D42">
        <w:rPr>
          <w:rFonts w:ascii="Calibri" w:hAnsi="Calibri"/>
          <w:sz w:val="22"/>
          <w:szCs w:val="22"/>
          <w:lang w:val="en-US" w:eastAsia="en-US"/>
        </w:rPr>
        <w:t xml:space="preserve"> conditions have considerably increased. </w:t>
      </w:r>
      <w:r w:rsidR="00F9217E">
        <w:rPr>
          <w:rFonts w:ascii="Calibri" w:hAnsi="Calibri"/>
          <w:sz w:val="22"/>
          <w:szCs w:val="22"/>
          <w:lang w:val="en-US" w:eastAsia="en-US"/>
        </w:rPr>
        <w:t>During the period 2006-2009</w:t>
      </w:r>
      <w:r w:rsidR="003B03AF">
        <w:rPr>
          <w:rFonts w:ascii="Calibri" w:hAnsi="Calibri"/>
          <w:sz w:val="22"/>
          <w:szCs w:val="22"/>
          <w:lang w:val="en-US" w:eastAsia="en-US"/>
        </w:rPr>
        <w:t xml:space="preserve">, </w:t>
      </w:r>
      <w:r w:rsidR="00EB2469">
        <w:rPr>
          <w:rFonts w:ascii="Calibri" w:hAnsi="Calibri"/>
          <w:sz w:val="22"/>
          <w:szCs w:val="22"/>
          <w:lang w:val="en-US" w:eastAsia="en-US"/>
        </w:rPr>
        <w:t>annual funding sources allocated to this sector have</w:t>
      </w:r>
      <w:r w:rsidR="00950290">
        <w:rPr>
          <w:rFonts w:ascii="Calibri" w:hAnsi="Calibri"/>
          <w:sz w:val="22"/>
          <w:szCs w:val="22"/>
          <w:lang w:val="en-US" w:eastAsia="en-US"/>
        </w:rPr>
        <w:t xml:space="preserve"> been</w:t>
      </w:r>
      <w:r w:rsidR="00EB2469">
        <w:rPr>
          <w:rFonts w:ascii="Calibri" w:hAnsi="Calibri"/>
          <w:sz w:val="22"/>
          <w:szCs w:val="22"/>
          <w:lang w:val="en-US" w:eastAsia="en-US"/>
        </w:rPr>
        <w:t xml:space="preserve"> more than triplicate. Moreover, at </w:t>
      </w:r>
      <w:r w:rsidR="00AF6E21">
        <w:rPr>
          <w:rFonts w:ascii="Calibri" w:hAnsi="Calibri"/>
          <w:sz w:val="22"/>
          <w:szCs w:val="22"/>
          <w:lang w:val="en-US" w:eastAsia="en-US"/>
        </w:rPr>
        <w:t>the</w:t>
      </w:r>
      <w:r w:rsidR="00EB2469">
        <w:rPr>
          <w:rFonts w:ascii="Calibri" w:hAnsi="Calibri"/>
          <w:sz w:val="22"/>
          <w:szCs w:val="22"/>
          <w:lang w:val="en-US" w:eastAsia="en-US"/>
        </w:rPr>
        <w:t xml:space="preserve"> political level, </w:t>
      </w:r>
      <w:r w:rsidR="004343E9">
        <w:rPr>
          <w:rFonts w:ascii="Calibri" w:hAnsi="Calibri"/>
          <w:sz w:val="22"/>
          <w:szCs w:val="22"/>
          <w:lang w:val="en-US" w:eastAsia="en-US"/>
        </w:rPr>
        <w:t>the “Agua para Todos” program is one the flagships of the cu</w:t>
      </w:r>
      <w:r w:rsidR="00F55A46">
        <w:rPr>
          <w:rFonts w:ascii="Calibri" w:hAnsi="Calibri"/>
          <w:sz w:val="22"/>
          <w:szCs w:val="22"/>
          <w:lang w:val="en-US" w:eastAsia="en-US"/>
        </w:rPr>
        <w:t xml:space="preserve">rrent government, which </w:t>
      </w:r>
      <w:r w:rsidR="00CD18BD">
        <w:rPr>
          <w:rFonts w:ascii="Calibri" w:hAnsi="Calibri"/>
          <w:sz w:val="22"/>
          <w:szCs w:val="22"/>
          <w:lang w:val="en-US" w:eastAsia="en-US"/>
        </w:rPr>
        <w:t>stimulates a</w:t>
      </w:r>
      <w:r w:rsidR="00BB3DD5">
        <w:rPr>
          <w:rFonts w:ascii="Calibri" w:hAnsi="Calibri"/>
          <w:sz w:val="22"/>
          <w:szCs w:val="22"/>
          <w:lang w:val="en-US" w:eastAsia="en-US"/>
        </w:rPr>
        <w:t xml:space="preserve">n attitude </w:t>
      </w:r>
      <w:r w:rsidR="00AF6E21">
        <w:rPr>
          <w:rFonts w:ascii="Calibri" w:hAnsi="Calibri"/>
          <w:sz w:val="22"/>
          <w:szCs w:val="22"/>
          <w:lang w:val="en-US" w:eastAsia="en-US"/>
        </w:rPr>
        <w:t xml:space="preserve">of close monitoring </w:t>
      </w:r>
      <w:r w:rsidR="00BB3DD5">
        <w:rPr>
          <w:rFonts w:ascii="Calibri" w:hAnsi="Calibri"/>
          <w:sz w:val="22"/>
          <w:szCs w:val="22"/>
          <w:lang w:val="en-US" w:eastAsia="en-US"/>
        </w:rPr>
        <w:t>in the civil society and an accountability culture.</w:t>
      </w:r>
    </w:p>
    <w:p w:rsidR="00A11441" w:rsidRDefault="00A11441" w:rsidP="00423D7F">
      <w:pPr>
        <w:spacing w:line="276" w:lineRule="auto"/>
        <w:jc w:val="both"/>
        <w:rPr>
          <w:rFonts w:ascii="Calibri" w:hAnsi="Calibri"/>
          <w:sz w:val="22"/>
          <w:szCs w:val="22"/>
          <w:lang w:val="en-US" w:eastAsia="en-US"/>
        </w:rPr>
      </w:pPr>
    </w:p>
    <w:p w:rsidR="00A11441" w:rsidRDefault="0049104A" w:rsidP="00423D7F">
      <w:pPr>
        <w:spacing w:line="276" w:lineRule="auto"/>
        <w:jc w:val="both"/>
        <w:rPr>
          <w:rFonts w:ascii="Calibri" w:hAnsi="Calibri"/>
          <w:sz w:val="22"/>
          <w:szCs w:val="22"/>
          <w:lang w:val="en-US" w:eastAsia="en-US"/>
        </w:rPr>
      </w:pPr>
      <w:r>
        <w:rPr>
          <w:rFonts w:ascii="Calibri" w:hAnsi="Calibri"/>
          <w:sz w:val="22"/>
          <w:szCs w:val="22"/>
          <w:lang w:val="en-US" w:eastAsia="en-US"/>
        </w:rPr>
        <w:t>Methods like the PBA and the BIA</w:t>
      </w:r>
      <w:r w:rsidR="003801CA">
        <w:rPr>
          <w:rFonts w:ascii="Calibri" w:hAnsi="Calibri"/>
          <w:sz w:val="22"/>
          <w:szCs w:val="22"/>
          <w:lang w:val="en-US" w:eastAsia="en-US"/>
        </w:rPr>
        <w:t xml:space="preserve"> are designed precisely</w:t>
      </w:r>
      <w:r w:rsidR="00A406D1">
        <w:rPr>
          <w:rFonts w:ascii="Calibri" w:hAnsi="Calibri"/>
          <w:sz w:val="22"/>
          <w:szCs w:val="22"/>
          <w:lang w:val="en-US" w:eastAsia="en-US"/>
        </w:rPr>
        <w:t xml:space="preserve"> </w:t>
      </w:r>
      <w:r w:rsidR="00AF6E21">
        <w:rPr>
          <w:rFonts w:ascii="Calibri" w:hAnsi="Calibri"/>
          <w:sz w:val="22"/>
          <w:szCs w:val="22"/>
          <w:lang w:val="en-US" w:eastAsia="en-US"/>
        </w:rPr>
        <w:t>to facilitate</w:t>
      </w:r>
      <w:r w:rsidR="00850631">
        <w:rPr>
          <w:rFonts w:ascii="Calibri" w:hAnsi="Calibri"/>
          <w:sz w:val="22"/>
          <w:szCs w:val="22"/>
          <w:lang w:val="en-US" w:eastAsia="en-US"/>
        </w:rPr>
        <w:t xml:space="preserve"> evaluation and monitoring</w:t>
      </w:r>
      <w:r w:rsidR="005F6518">
        <w:rPr>
          <w:rFonts w:ascii="Calibri" w:hAnsi="Calibri"/>
          <w:sz w:val="22"/>
          <w:szCs w:val="22"/>
          <w:lang w:val="en-US" w:eastAsia="en-US"/>
        </w:rPr>
        <w:t xml:space="preserve"> of the items </w:t>
      </w:r>
      <w:r w:rsidR="00AF6E21">
        <w:rPr>
          <w:rFonts w:ascii="Calibri" w:hAnsi="Calibri"/>
          <w:sz w:val="22"/>
          <w:szCs w:val="22"/>
          <w:lang w:val="en-US" w:eastAsia="en-US"/>
        </w:rPr>
        <w:t xml:space="preserve">covered by water and sanitation </w:t>
      </w:r>
      <w:r w:rsidR="005F6518">
        <w:rPr>
          <w:rFonts w:ascii="Calibri" w:hAnsi="Calibri"/>
          <w:sz w:val="22"/>
          <w:szCs w:val="22"/>
          <w:lang w:val="en-US" w:eastAsia="en-US"/>
        </w:rPr>
        <w:t>program</w:t>
      </w:r>
      <w:r w:rsidR="00AF6E21">
        <w:rPr>
          <w:rFonts w:ascii="Calibri" w:hAnsi="Calibri"/>
          <w:sz w:val="22"/>
          <w:szCs w:val="22"/>
          <w:lang w:val="en-US" w:eastAsia="en-US"/>
        </w:rPr>
        <w:t>s</w:t>
      </w:r>
      <w:r w:rsidR="005F6518">
        <w:rPr>
          <w:rFonts w:ascii="Calibri" w:hAnsi="Calibri"/>
          <w:sz w:val="22"/>
          <w:szCs w:val="22"/>
          <w:lang w:val="en-US" w:eastAsia="en-US"/>
        </w:rPr>
        <w:t>.</w:t>
      </w:r>
      <w:r w:rsidR="007D1AE2">
        <w:rPr>
          <w:rFonts w:ascii="Calibri" w:hAnsi="Calibri"/>
          <w:sz w:val="22"/>
          <w:szCs w:val="22"/>
          <w:lang w:val="en-US" w:eastAsia="en-US"/>
        </w:rPr>
        <w:t xml:space="preserve"> </w:t>
      </w:r>
      <w:r w:rsidR="004A3370">
        <w:rPr>
          <w:rFonts w:ascii="Calibri" w:hAnsi="Calibri"/>
          <w:sz w:val="22"/>
          <w:szCs w:val="22"/>
          <w:lang w:val="en-US" w:eastAsia="en-US"/>
        </w:rPr>
        <w:t>About the f</w:t>
      </w:r>
      <w:r w:rsidR="007D1AE2">
        <w:rPr>
          <w:rFonts w:ascii="Calibri" w:hAnsi="Calibri"/>
          <w:sz w:val="22"/>
          <w:szCs w:val="22"/>
          <w:lang w:val="en-US" w:eastAsia="en-US"/>
        </w:rPr>
        <w:t>irst</w:t>
      </w:r>
      <w:r w:rsidR="004A3370">
        <w:rPr>
          <w:rFonts w:ascii="Calibri" w:hAnsi="Calibri"/>
          <w:sz w:val="22"/>
          <w:szCs w:val="22"/>
          <w:lang w:val="en-US" w:eastAsia="en-US"/>
        </w:rPr>
        <w:t xml:space="preserve"> one</w:t>
      </w:r>
      <w:r w:rsidR="007D1AE2">
        <w:rPr>
          <w:rFonts w:ascii="Calibri" w:hAnsi="Calibri"/>
          <w:sz w:val="22"/>
          <w:szCs w:val="22"/>
          <w:lang w:val="en-US" w:eastAsia="en-US"/>
        </w:rPr>
        <w:t xml:space="preserve">, as it had been expected, it was found that this sector is basically capital intensive (it represents 79% of total </w:t>
      </w:r>
      <w:r w:rsidR="00AF6E21">
        <w:rPr>
          <w:rFonts w:ascii="Calibri" w:hAnsi="Calibri"/>
          <w:sz w:val="22"/>
          <w:szCs w:val="22"/>
          <w:lang w:val="en-US" w:eastAsia="en-US"/>
        </w:rPr>
        <w:t>water and sanitation</w:t>
      </w:r>
      <w:r w:rsidR="007D1AE2">
        <w:rPr>
          <w:rFonts w:ascii="Calibri" w:hAnsi="Calibri"/>
          <w:sz w:val="22"/>
          <w:szCs w:val="22"/>
          <w:lang w:val="en-US" w:eastAsia="en-US"/>
        </w:rPr>
        <w:t xml:space="preserve"> expenditure)</w:t>
      </w:r>
      <w:r w:rsidR="003B69F6">
        <w:rPr>
          <w:rFonts w:ascii="Calibri" w:hAnsi="Calibri"/>
          <w:sz w:val="22"/>
          <w:szCs w:val="22"/>
          <w:lang w:val="en-US" w:eastAsia="en-US"/>
        </w:rPr>
        <w:t xml:space="preserve">. That </w:t>
      </w:r>
      <w:r w:rsidR="00D2715A">
        <w:rPr>
          <w:rFonts w:ascii="Calibri" w:hAnsi="Calibri"/>
          <w:sz w:val="22"/>
          <w:szCs w:val="22"/>
          <w:lang w:val="en-US" w:eastAsia="en-US"/>
        </w:rPr>
        <w:t>m</w:t>
      </w:r>
      <w:r w:rsidR="00AF6E21">
        <w:rPr>
          <w:rFonts w:ascii="Calibri" w:hAnsi="Calibri"/>
          <w:sz w:val="22"/>
          <w:szCs w:val="22"/>
          <w:lang w:val="en-US" w:eastAsia="en-US"/>
        </w:rPr>
        <w:t>ight</w:t>
      </w:r>
      <w:r w:rsidR="00D2715A">
        <w:rPr>
          <w:rFonts w:ascii="Calibri" w:hAnsi="Calibri"/>
          <w:sz w:val="22"/>
          <w:szCs w:val="22"/>
          <w:lang w:val="en-US" w:eastAsia="en-US"/>
        </w:rPr>
        <w:t xml:space="preserve"> </w:t>
      </w:r>
      <w:r w:rsidR="003B69F6">
        <w:rPr>
          <w:rFonts w:ascii="Calibri" w:hAnsi="Calibri"/>
          <w:sz w:val="22"/>
          <w:szCs w:val="22"/>
          <w:lang w:val="en-US" w:eastAsia="en-US"/>
        </w:rPr>
        <w:t xml:space="preserve">mean that even when it is expected that EPS and other </w:t>
      </w:r>
      <w:r w:rsidR="00AF6E21">
        <w:rPr>
          <w:rFonts w:ascii="Calibri" w:hAnsi="Calibri"/>
          <w:sz w:val="22"/>
          <w:szCs w:val="22"/>
          <w:lang w:val="en-US" w:eastAsia="en-US"/>
        </w:rPr>
        <w:t>water and sanitation</w:t>
      </w:r>
      <w:r w:rsidR="003B69F6">
        <w:rPr>
          <w:rFonts w:ascii="Calibri" w:hAnsi="Calibri"/>
          <w:sz w:val="22"/>
          <w:szCs w:val="22"/>
          <w:lang w:val="en-US" w:eastAsia="en-US"/>
        </w:rPr>
        <w:t xml:space="preserve"> companies become self-sustainable, the government</w:t>
      </w:r>
      <w:r w:rsidR="000D1B4B">
        <w:rPr>
          <w:rFonts w:ascii="Calibri" w:hAnsi="Calibri"/>
          <w:sz w:val="22"/>
          <w:szCs w:val="22"/>
          <w:lang w:val="en-US" w:eastAsia="en-US"/>
        </w:rPr>
        <w:t xml:space="preserve"> frequently subsidies fixed costs (which are very high in this sector) in order to promote investments and </w:t>
      </w:r>
      <w:r w:rsidR="002A2385">
        <w:rPr>
          <w:rFonts w:ascii="Calibri" w:hAnsi="Calibri"/>
          <w:sz w:val="22"/>
          <w:szCs w:val="22"/>
          <w:lang w:val="en-US" w:eastAsia="en-US"/>
        </w:rPr>
        <w:t xml:space="preserve">to </w:t>
      </w:r>
      <w:r w:rsidR="00AF6E21">
        <w:rPr>
          <w:rFonts w:ascii="Calibri" w:hAnsi="Calibri"/>
          <w:sz w:val="22"/>
          <w:szCs w:val="22"/>
          <w:lang w:val="en-US" w:eastAsia="en-US"/>
        </w:rPr>
        <w:t xml:space="preserve">increase </w:t>
      </w:r>
      <w:r w:rsidR="002A2385">
        <w:rPr>
          <w:rFonts w:ascii="Calibri" w:hAnsi="Calibri"/>
          <w:sz w:val="22"/>
          <w:szCs w:val="22"/>
          <w:lang w:val="en-US" w:eastAsia="en-US"/>
        </w:rPr>
        <w:t>the</w:t>
      </w:r>
      <w:r w:rsidR="004A3370">
        <w:rPr>
          <w:rFonts w:ascii="Calibri" w:hAnsi="Calibri"/>
          <w:sz w:val="22"/>
          <w:szCs w:val="22"/>
          <w:lang w:val="en-US" w:eastAsia="en-US"/>
        </w:rPr>
        <w:t xml:space="preserve"> </w:t>
      </w:r>
      <w:r w:rsidR="000D1B4B">
        <w:rPr>
          <w:rFonts w:ascii="Calibri" w:hAnsi="Calibri"/>
          <w:sz w:val="22"/>
          <w:szCs w:val="22"/>
          <w:lang w:val="en-US" w:eastAsia="en-US"/>
        </w:rPr>
        <w:t xml:space="preserve">access to </w:t>
      </w:r>
      <w:r w:rsidR="002A2385">
        <w:rPr>
          <w:rFonts w:ascii="Calibri" w:hAnsi="Calibri"/>
          <w:sz w:val="22"/>
          <w:szCs w:val="22"/>
          <w:lang w:val="en-US" w:eastAsia="en-US"/>
        </w:rPr>
        <w:t xml:space="preserve">a </w:t>
      </w:r>
      <w:r w:rsidR="000D1B4B">
        <w:rPr>
          <w:rFonts w:ascii="Calibri" w:hAnsi="Calibri"/>
          <w:sz w:val="22"/>
          <w:szCs w:val="22"/>
          <w:lang w:val="en-US" w:eastAsia="en-US"/>
        </w:rPr>
        <w:t>water service</w:t>
      </w:r>
      <w:r w:rsidR="00AF6E21">
        <w:rPr>
          <w:rFonts w:ascii="Calibri" w:hAnsi="Calibri"/>
          <w:sz w:val="22"/>
          <w:szCs w:val="22"/>
          <w:lang w:val="en-US" w:eastAsia="en-US"/>
        </w:rPr>
        <w:t xml:space="preserve"> of better quality</w:t>
      </w:r>
      <w:r w:rsidR="004A3370">
        <w:rPr>
          <w:rFonts w:ascii="Calibri" w:hAnsi="Calibri"/>
          <w:sz w:val="22"/>
          <w:szCs w:val="22"/>
          <w:lang w:val="en-US" w:eastAsia="en-US"/>
        </w:rPr>
        <w:t>.</w:t>
      </w:r>
      <w:r w:rsidR="008A001B">
        <w:rPr>
          <w:rFonts w:ascii="Calibri" w:hAnsi="Calibri"/>
          <w:sz w:val="22"/>
          <w:szCs w:val="22"/>
          <w:lang w:val="en-US" w:eastAsia="en-US"/>
        </w:rPr>
        <w:t xml:space="preserve"> After that, </w:t>
      </w:r>
      <w:r w:rsidR="00AF6E21">
        <w:rPr>
          <w:rFonts w:ascii="Calibri" w:hAnsi="Calibri"/>
          <w:sz w:val="22"/>
          <w:szCs w:val="22"/>
          <w:lang w:val="en-US" w:eastAsia="en-US"/>
        </w:rPr>
        <w:t>water and sanitation</w:t>
      </w:r>
      <w:r w:rsidR="008A001B">
        <w:rPr>
          <w:rFonts w:ascii="Calibri" w:hAnsi="Calibri"/>
          <w:sz w:val="22"/>
          <w:szCs w:val="22"/>
          <w:lang w:val="en-US" w:eastAsia="en-US"/>
        </w:rPr>
        <w:t xml:space="preserve"> companies are supposed to cover all their operating costs</w:t>
      </w:r>
      <w:r w:rsidR="00B6630D">
        <w:rPr>
          <w:rFonts w:ascii="Calibri" w:hAnsi="Calibri"/>
          <w:sz w:val="22"/>
          <w:szCs w:val="22"/>
          <w:lang w:val="en-US" w:eastAsia="en-US"/>
        </w:rPr>
        <w:t xml:space="preserve"> with their</w:t>
      </w:r>
      <w:r w:rsidR="00245509">
        <w:rPr>
          <w:rFonts w:ascii="Calibri" w:hAnsi="Calibri"/>
          <w:sz w:val="22"/>
          <w:szCs w:val="22"/>
          <w:lang w:val="en-US" w:eastAsia="en-US"/>
        </w:rPr>
        <w:t xml:space="preserve"> tariff system.</w:t>
      </w:r>
    </w:p>
    <w:p w:rsidR="00B6630D" w:rsidRDefault="00B6630D" w:rsidP="00423D7F">
      <w:pPr>
        <w:spacing w:line="276" w:lineRule="auto"/>
        <w:jc w:val="both"/>
        <w:rPr>
          <w:rFonts w:ascii="Calibri" w:hAnsi="Calibri"/>
          <w:sz w:val="22"/>
          <w:szCs w:val="22"/>
          <w:lang w:val="en-US" w:eastAsia="en-US"/>
        </w:rPr>
      </w:pPr>
    </w:p>
    <w:p w:rsidR="000E46AE" w:rsidRPr="0088722D" w:rsidRDefault="00E86F60" w:rsidP="000E46AE">
      <w:pPr>
        <w:tabs>
          <w:tab w:val="left" w:pos="440"/>
        </w:tabs>
        <w:spacing w:line="276" w:lineRule="auto"/>
        <w:jc w:val="both"/>
        <w:rPr>
          <w:rFonts w:ascii="Calibri" w:eastAsia="Calibri" w:hAnsi="Calibri"/>
          <w:bCs/>
          <w:sz w:val="22"/>
          <w:szCs w:val="20"/>
          <w:lang w:val="en-US" w:eastAsia="en-US"/>
        </w:rPr>
      </w:pPr>
      <w:r>
        <w:rPr>
          <w:rFonts w:ascii="Calibri" w:hAnsi="Calibri"/>
          <w:sz w:val="22"/>
          <w:szCs w:val="22"/>
          <w:lang w:val="en-US" w:eastAsia="en-US"/>
        </w:rPr>
        <w:t>I</w:t>
      </w:r>
      <w:r w:rsidRPr="00E86F60">
        <w:rPr>
          <w:rFonts w:ascii="Calibri" w:hAnsi="Calibri"/>
          <w:sz w:val="22"/>
          <w:szCs w:val="22"/>
          <w:lang w:val="en-US" w:eastAsia="en-US"/>
        </w:rPr>
        <w:t>t was</w:t>
      </w:r>
      <w:r>
        <w:rPr>
          <w:rFonts w:ascii="Calibri" w:hAnsi="Calibri"/>
          <w:sz w:val="22"/>
          <w:szCs w:val="22"/>
          <w:lang w:val="en-US" w:eastAsia="en-US"/>
        </w:rPr>
        <w:t xml:space="preserve"> also</w:t>
      </w:r>
      <w:r w:rsidRPr="00E86F60">
        <w:rPr>
          <w:rFonts w:ascii="Calibri" w:hAnsi="Calibri"/>
          <w:sz w:val="22"/>
          <w:szCs w:val="22"/>
          <w:lang w:val="en-US" w:eastAsia="en-US"/>
        </w:rPr>
        <w:t xml:space="preserve"> found evidence of an inefficient budgeting process, based mainly on two facts: i) the wide mismatch between the Institutional Opening Budget and the Adjusted Planning Budget, and ii) the inability to execute the entire planned budget.</w:t>
      </w:r>
      <w:r w:rsidR="000E46AE">
        <w:rPr>
          <w:rFonts w:ascii="Calibri" w:hAnsi="Calibri"/>
          <w:sz w:val="22"/>
          <w:szCs w:val="22"/>
          <w:lang w:val="en-US" w:eastAsia="en-US"/>
        </w:rPr>
        <w:t xml:space="preserve"> </w:t>
      </w:r>
      <w:r w:rsidR="000E46AE" w:rsidRPr="0088722D">
        <w:rPr>
          <w:rFonts w:ascii="Calibri" w:eastAsia="Calibri" w:hAnsi="Calibri"/>
          <w:bCs/>
          <w:sz w:val="22"/>
          <w:szCs w:val="20"/>
          <w:lang w:val="en-US" w:eastAsia="en-US"/>
        </w:rPr>
        <w:t>Because these items include the construction of infrastructure and different studies like planning or feasibility, they may take longer than expected due to complications in the process. However, inaccurate measurement of the deadline of a project may cause extra expenses which ultimately generate inefficiencies.</w:t>
      </w:r>
      <w:r w:rsidR="00AD3A80">
        <w:rPr>
          <w:rFonts w:ascii="Calibri" w:eastAsia="Calibri" w:hAnsi="Calibri"/>
          <w:bCs/>
          <w:sz w:val="22"/>
          <w:szCs w:val="20"/>
          <w:lang w:val="en-US" w:eastAsia="en-US"/>
        </w:rPr>
        <w:t xml:space="preserve"> Thus, a better understanding of the budget accounts will allow </w:t>
      </w:r>
      <w:r w:rsidR="00283609">
        <w:rPr>
          <w:rFonts w:ascii="Calibri" w:eastAsia="Calibri" w:hAnsi="Calibri"/>
          <w:bCs/>
          <w:sz w:val="22"/>
          <w:szCs w:val="20"/>
          <w:lang w:val="en-US" w:eastAsia="en-US"/>
        </w:rPr>
        <w:t xml:space="preserve">government </w:t>
      </w:r>
      <w:r w:rsidR="00AD3A80">
        <w:rPr>
          <w:rFonts w:ascii="Calibri" w:eastAsia="Calibri" w:hAnsi="Calibri"/>
          <w:bCs/>
          <w:sz w:val="22"/>
          <w:szCs w:val="20"/>
          <w:lang w:val="en-US" w:eastAsia="en-US"/>
        </w:rPr>
        <w:t>to</w:t>
      </w:r>
      <w:r w:rsidR="00283609">
        <w:rPr>
          <w:rFonts w:ascii="Calibri" w:eastAsia="Calibri" w:hAnsi="Calibri"/>
          <w:bCs/>
          <w:sz w:val="22"/>
          <w:szCs w:val="20"/>
          <w:lang w:val="en-US" w:eastAsia="en-US"/>
        </w:rPr>
        <w:t xml:space="preserve"> prepare more realistic and transparent budget plans.</w:t>
      </w:r>
    </w:p>
    <w:p w:rsidR="00B6630D" w:rsidRDefault="00B6630D" w:rsidP="00423D7F">
      <w:pPr>
        <w:spacing w:line="276" w:lineRule="auto"/>
        <w:jc w:val="both"/>
        <w:rPr>
          <w:rFonts w:ascii="Calibri" w:hAnsi="Calibri"/>
          <w:sz w:val="22"/>
          <w:szCs w:val="22"/>
          <w:lang w:val="en-US" w:eastAsia="en-US"/>
        </w:rPr>
      </w:pPr>
    </w:p>
    <w:p w:rsidR="009F38A9" w:rsidRPr="009F38A9" w:rsidRDefault="00597587" w:rsidP="00AF6E21">
      <w:pPr>
        <w:spacing w:line="276" w:lineRule="auto"/>
        <w:jc w:val="both"/>
        <w:rPr>
          <w:sz w:val="16"/>
          <w:szCs w:val="16"/>
          <w:lang w:val="en-US" w:eastAsia="en-US"/>
        </w:rPr>
      </w:pPr>
      <w:r>
        <w:rPr>
          <w:rFonts w:ascii="Calibri" w:hAnsi="Calibri"/>
          <w:sz w:val="22"/>
          <w:szCs w:val="22"/>
          <w:lang w:val="en-US" w:eastAsia="en-US"/>
        </w:rPr>
        <w:t>About the BIA</w:t>
      </w:r>
      <w:r w:rsidR="002151FB">
        <w:rPr>
          <w:rFonts w:ascii="Calibri" w:hAnsi="Calibri"/>
          <w:sz w:val="22"/>
          <w:szCs w:val="22"/>
          <w:lang w:val="en-US" w:eastAsia="en-US"/>
        </w:rPr>
        <w:t>,</w:t>
      </w:r>
      <w:r w:rsidR="004E08B7">
        <w:rPr>
          <w:rFonts w:ascii="Calibri" w:hAnsi="Calibri"/>
          <w:sz w:val="22"/>
          <w:szCs w:val="22"/>
          <w:lang w:val="en-US" w:eastAsia="en-US"/>
        </w:rPr>
        <w:t xml:space="preserve"> the analysis of the government subsidies was particularly useful </w:t>
      </w:r>
      <w:r w:rsidR="00647D55">
        <w:rPr>
          <w:rFonts w:ascii="Calibri" w:hAnsi="Calibri"/>
          <w:sz w:val="22"/>
          <w:szCs w:val="22"/>
          <w:lang w:val="en-US" w:eastAsia="en-US"/>
        </w:rPr>
        <w:t>for</w:t>
      </w:r>
      <w:r w:rsidR="004E08B7">
        <w:rPr>
          <w:rFonts w:ascii="Calibri" w:hAnsi="Calibri"/>
          <w:sz w:val="22"/>
          <w:szCs w:val="22"/>
          <w:lang w:val="en-US" w:eastAsia="en-US"/>
        </w:rPr>
        <w:t xml:space="preserve"> a better understanding of</w:t>
      </w:r>
      <w:r w:rsidR="006158AA">
        <w:rPr>
          <w:rFonts w:ascii="Calibri" w:hAnsi="Calibri"/>
          <w:sz w:val="22"/>
          <w:szCs w:val="22"/>
          <w:lang w:val="en-US" w:eastAsia="en-US"/>
        </w:rPr>
        <w:t xml:space="preserve"> the service provided to population</w:t>
      </w:r>
      <w:r w:rsidR="00FB6BAD">
        <w:rPr>
          <w:rFonts w:ascii="Calibri" w:hAnsi="Calibri"/>
          <w:sz w:val="22"/>
          <w:szCs w:val="22"/>
          <w:lang w:val="en-US" w:eastAsia="en-US"/>
        </w:rPr>
        <w:t xml:space="preserve"> of</w:t>
      </w:r>
      <w:r w:rsidR="00FB6BAD" w:rsidRPr="00FB6BAD">
        <w:rPr>
          <w:rFonts w:ascii="Calibri" w:hAnsi="Calibri"/>
          <w:sz w:val="22"/>
          <w:szCs w:val="22"/>
          <w:lang w:val="en-US" w:eastAsia="en-US"/>
        </w:rPr>
        <w:t xml:space="preserve"> </w:t>
      </w:r>
      <w:r w:rsidR="00FB6BAD">
        <w:rPr>
          <w:rFonts w:ascii="Calibri" w:hAnsi="Calibri"/>
          <w:sz w:val="22"/>
          <w:szCs w:val="22"/>
          <w:lang w:val="en-US" w:eastAsia="en-US"/>
        </w:rPr>
        <w:t>different socio-economic status</w:t>
      </w:r>
      <w:r w:rsidR="006158AA">
        <w:rPr>
          <w:rFonts w:ascii="Calibri" w:hAnsi="Calibri"/>
          <w:sz w:val="22"/>
          <w:szCs w:val="22"/>
          <w:lang w:val="en-US" w:eastAsia="en-US"/>
        </w:rPr>
        <w:t xml:space="preserve">. </w:t>
      </w:r>
      <w:r w:rsidR="002151FB">
        <w:rPr>
          <w:rFonts w:ascii="Calibri" w:hAnsi="Calibri"/>
          <w:sz w:val="22"/>
          <w:szCs w:val="22"/>
          <w:lang w:val="en-US" w:eastAsia="en-US"/>
        </w:rPr>
        <w:t xml:space="preserve"> For example, </w:t>
      </w:r>
      <w:r w:rsidR="00A2495D">
        <w:rPr>
          <w:rFonts w:ascii="Calibri" w:hAnsi="Calibri"/>
          <w:sz w:val="22"/>
          <w:szCs w:val="22"/>
          <w:lang w:val="en-US" w:eastAsia="en-US"/>
        </w:rPr>
        <w:t xml:space="preserve">it was found that </w:t>
      </w:r>
      <w:r w:rsidR="00892668" w:rsidRPr="00C125D0">
        <w:rPr>
          <w:rFonts w:ascii="Calibri" w:hAnsi="Calibri" w:cs="Arial"/>
          <w:sz w:val="22"/>
          <w:szCs w:val="22"/>
          <w:lang w:val="en-GB"/>
        </w:rPr>
        <w:t xml:space="preserve">lowest </w:t>
      </w:r>
      <w:r w:rsidR="006158AA">
        <w:rPr>
          <w:rFonts w:ascii="Calibri" w:hAnsi="Calibri" w:cs="Arial"/>
          <w:sz w:val="22"/>
          <w:szCs w:val="22"/>
          <w:lang w:val="en-GB"/>
        </w:rPr>
        <w:t xml:space="preserve">expenditure </w:t>
      </w:r>
      <w:r w:rsidR="00892668" w:rsidRPr="00C125D0">
        <w:rPr>
          <w:rFonts w:ascii="Calibri" w:hAnsi="Calibri" w:cs="Arial"/>
          <w:sz w:val="22"/>
          <w:szCs w:val="22"/>
          <w:lang w:val="en-GB"/>
        </w:rPr>
        <w:t>quintile receives far less that the second lowest in terms of private connections, although they have more invested in public connections than any other category. This might mean that for the first quintile, it is more cost effective to provide the service t</w:t>
      </w:r>
      <w:r w:rsidR="00892668">
        <w:rPr>
          <w:rFonts w:ascii="Calibri" w:hAnsi="Calibri" w:cs="Arial"/>
          <w:sz w:val="22"/>
          <w:szCs w:val="22"/>
          <w:lang w:val="en-GB"/>
        </w:rPr>
        <w:t>h</w:t>
      </w:r>
      <w:r w:rsidR="00892668" w:rsidRPr="00C125D0">
        <w:rPr>
          <w:rFonts w:ascii="Calibri" w:hAnsi="Calibri" w:cs="Arial"/>
          <w:sz w:val="22"/>
          <w:szCs w:val="22"/>
          <w:lang w:val="en-GB"/>
        </w:rPr>
        <w:t>rough public connections.</w:t>
      </w:r>
      <w:r w:rsidR="00B32F45">
        <w:rPr>
          <w:rFonts w:ascii="Calibri" w:hAnsi="Calibri" w:cs="Arial"/>
          <w:sz w:val="22"/>
          <w:szCs w:val="22"/>
          <w:lang w:val="en-GB"/>
        </w:rPr>
        <w:t xml:space="preserve"> </w:t>
      </w:r>
      <w:r w:rsidR="00B32F45" w:rsidRPr="00C125D0">
        <w:rPr>
          <w:rFonts w:ascii="Calibri" w:hAnsi="Calibri" w:cs="Arial"/>
          <w:sz w:val="22"/>
          <w:szCs w:val="22"/>
          <w:lang w:val="en-GB"/>
        </w:rPr>
        <w:t>In the case of a distant rural community, the cost of a private connection project might be too high so the alternative is public connections</w:t>
      </w:r>
      <w:r w:rsidR="00A2495D">
        <w:rPr>
          <w:rFonts w:ascii="Calibri" w:hAnsi="Calibri" w:cs="Arial"/>
          <w:sz w:val="22"/>
          <w:szCs w:val="22"/>
          <w:lang w:val="en-GB"/>
        </w:rPr>
        <w:t xml:space="preserve"> as well</w:t>
      </w:r>
      <w:r w:rsidR="00B32F45" w:rsidRPr="00C125D0">
        <w:rPr>
          <w:rFonts w:ascii="Calibri" w:hAnsi="Calibri" w:cs="Arial"/>
          <w:sz w:val="22"/>
          <w:szCs w:val="22"/>
          <w:lang w:val="en-GB"/>
        </w:rPr>
        <w:t>. The second and third quintiles on the other hand, might be more focused in small cities or rural communities near big cities. Therefore is more feasible to provide them with private connections. The highest quintile</w:t>
      </w:r>
      <w:r w:rsidR="00B32F45">
        <w:rPr>
          <w:rFonts w:ascii="Calibri" w:hAnsi="Calibri" w:cs="Arial"/>
          <w:sz w:val="22"/>
          <w:szCs w:val="22"/>
          <w:lang w:val="en-GB"/>
        </w:rPr>
        <w:t>,</w:t>
      </w:r>
      <w:r w:rsidR="00B32F45" w:rsidRPr="00C125D0">
        <w:rPr>
          <w:rFonts w:ascii="Calibri" w:hAnsi="Calibri" w:cs="Arial"/>
          <w:sz w:val="22"/>
          <w:szCs w:val="22"/>
          <w:lang w:val="en-GB"/>
        </w:rPr>
        <w:t xml:space="preserve"> on the other hand</w:t>
      </w:r>
      <w:r w:rsidR="00B32F45">
        <w:rPr>
          <w:rFonts w:ascii="Calibri" w:hAnsi="Calibri" w:cs="Arial"/>
          <w:sz w:val="22"/>
          <w:szCs w:val="22"/>
          <w:lang w:val="en-GB"/>
        </w:rPr>
        <w:t>,</w:t>
      </w:r>
      <w:r w:rsidR="00B32F45" w:rsidRPr="00C125D0">
        <w:rPr>
          <w:rFonts w:ascii="Calibri" w:hAnsi="Calibri" w:cs="Arial"/>
          <w:sz w:val="22"/>
          <w:szCs w:val="22"/>
          <w:lang w:val="en-GB"/>
        </w:rPr>
        <w:t xml:space="preserve"> receives the least amount of expenditure, which is consistent with the fact that they do not need it because the live in areas where this service is already in place.</w:t>
      </w:r>
      <w:r w:rsidR="009F38A9">
        <w:rPr>
          <w:lang w:val="en-US" w:eastAsia="en-US"/>
        </w:rPr>
        <w:br w:type="page"/>
      </w:r>
    </w:p>
    <w:p w:rsidR="003E4D04" w:rsidRDefault="00F33077" w:rsidP="009F38A9">
      <w:pPr>
        <w:pStyle w:val="Graciela1"/>
        <w:spacing w:before="0"/>
        <w:rPr>
          <w:kern w:val="0"/>
          <w:lang w:eastAsia="en-US"/>
        </w:rPr>
      </w:pPr>
      <w:bookmarkStart w:id="29" w:name="_Toc254912261"/>
      <w:r w:rsidRPr="00F33077">
        <w:rPr>
          <w:kern w:val="0"/>
          <w:lang w:eastAsia="en-US"/>
        </w:rPr>
        <w:lastRenderedPageBreak/>
        <w:t>V. Challenges conducting this work</w:t>
      </w:r>
      <w:bookmarkEnd w:id="29"/>
    </w:p>
    <w:p w:rsidR="00F33077" w:rsidRDefault="00F33077" w:rsidP="00F33077">
      <w:pPr>
        <w:rPr>
          <w:lang w:val="en-US" w:eastAsia="en-US"/>
        </w:rPr>
      </w:pPr>
    </w:p>
    <w:p w:rsidR="00F33077" w:rsidRDefault="00F33077" w:rsidP="00F33077">
      <w:pPr>
        <w:tabs>
          <w:tab w:val="left" w:pos="440"/>
        </w:tabs>
        <w:spacing w:line="276" w:lineRule="auto"/>
        <w:jc w:val="both"/>
        <w:rPr>
          <w:rFonts w:ascii="Calibri" w:eastAsia="Calibri" w:hAnsi="Calibri"/>
          <w:bCs/>
          <w:sz w:val="22"/>
          <w:szCs w:val="20"/>
          <w:lang w:val="en-US" w:eastAsia="en-US"/>
        </w:rPr>
      </w:pPr>
      <w:r w:rsidRPr="0088722D">
        <w:rPr>
          <w:rFonts w:ascii="Calibri" w:eastAsia="Calibri" w:hAnsi="Calibri"/>
          <w:bCs/>
          <w:sz w:val="22"/>
          <w:szCs w:val="20"/>
          <w:lang w:val="en-US" w:eastAsia="en-US"/>
        </w:rPr>
        <w:t xml:space="preserve">The biggest challenged faced in </w:t>
      </w:r>
      <w:r>
        <w:rPr>
          <w:rFonts w:ascii="Calibri" w:eastAsia="Calibri" w:hAnsi="Calibri"/>
          <w:bCs/>
          <w:sz w:val="22"/>
          <w:szCs w:val="20"/>
          <w:lang w:val="en-US" w:eastAsia="en-US"/>
        </w:rPr>
        <w:t>the PBA analysis</w:t>
      </w:r>
      <w:r w:rsidRPr="0088722D">
        <w:rPr>
          <w:rFonts w:ascii="Calibri" w:eastAsia="Calibri" w:hAnsi="Calibri"/>
          <w:bCs/>
          <w:sz w:val="22"/>
          <w:szCs w:val="20"/>
          <w:lang w:val="en-US" w:eastAsia="en-US"/>
        </w:rPr>
        <w:t xml:space="preserve"> was the fact that many of the entries in the budget had a diverse composition of sub classes that </w:t>
      </w:r>
      <w:r w:rsidR="00AF6E21">
        <w:rPr>
          <w:rFonts w:ascii="Calibri" w:eastAsia="Calibri" w:hAnsi="Calibri"/>
          <w:bCs/>
          <w:sz w:val="22"/>
          <w:szCs w:val="20"/>
          <w:lang w:val="en-US" w:eastAsia="en-US"/>
        </w:rPr>
        <w:t xml:space="preserve">require extra work to </w:t>
      </w:r>
      <w:r w:rsidRPr="0088722D">
        <w:rPr>
          <w:rFonts w:ascii="Calibri" w:eastAsia="Calibri" w:hAnsi="Calibri"/>
          <w:bCs/>
          <w:sz w:val="22"/>
          <w:szCs w:val="20"/>
          <w:lang w:val="en-US" w:eastAsia="en-US"/>
        </w:rPr>
        <w:t xml:space="preserve">be sorted </w:t>
      </w:r>
      <w:r w:rsidR="00AF6E21">
        <w:rPr>
          <w:rFonts w:ascii="Calibri" w:eastAsia="Calibri" w:hAnsi="Calibri"/>
          <w:bCs/>
          <w:sz w:val="22"/>
          <w:szCs w:val="20"/>
          <w:lang w:val="en-US" w:eastAsia="en-US"/>
        </w:rPr>
        <w:t xml:space="preserve">out </w:t>
      </w:r>
      <w:r w:rsidRPr="0088722D">
        <w:rPr>
          <w:rFonts w:ascii="Calibri" w:eastAsia="Calibri" w:hAnsi="Calibri"/>
          <w:bCs/>
          <w:sz w:val="22"/>
          <w:szCs w:val="20"/>
          <w:lang w:val="en-US" w:eastAsia="en-US"/>
        </w:rPr>
        <w:t>in order to present the information as it was needed by this project.</w:t>
      </w:r>
      <w:r>
        <w:rPr>
          <w:rFonts w:ascii="Calibri" w:eastAsia="Calibri" w:hAnsi="Calibri"/>
          <w:bCs/>
          <w:sz w:val="22"/>
          <w:szCs w:val="20"/>
          <w:lang w:val="en-US" w:eastAsia="en-US"/>
        </w:rPr>
        <w:t xml:space="preserve"> </w:t>
      </w:r>
      <w:r w:rsidRPr="0088722D">
        <w:rPr>
          <w:rFonts w:ascii="Calibri" w:eastAsia="Calibri" w:hAnsi="Calibri"/>
          <w:bCs/>
          <w:sz w:val="22"/>
          <w:szCs w:val="20"/>
          <w:lang w:val="en-US" w:eastAsia="en-US"/>
        </w:rPr>
        <w:t>However, the data was available and updated, so this chore could be done without recurring to other sources than the MEF. Therefore</w:t>
      </w:r>
      <w:r>
        <w:rPr>
          <w:rFonts w:ascii="Calibri" w:eastAsia="Calibri" w:hAnsi="Calibri"/>
          <w:bCs/>
          <w:sz w:val="22"/>
          <w:szCs w:val="20"/>
          <w:lang w:val="en-US" w:eastAsia="en-US"/>
        </w:rPr>
        <w:t>,</w:t>
      </w:r>
      <w:r w:rsidRPr="0088722D">
        <w:rPr>
          <w:rFonts w:ascii="Calibri" w:eastAsia="Calibri" w:hAnsi="Calibri"/>
          <w:bCs/>
          <w:sz w:val="22"/>
          <w:szCs w:val="20"/>
          <w:lang w:val="en-US" w:eastAsia="en-US"/>
        </w:rPr>
        <w:t xml:space="preserve"> the consistency of the data was assured by using the same database.</w:t>
      </w:r>
    </w:p>
    <w:p w:rsidR="00F33077" w:rsidRDefault="00F33077" w:rsidP="00F33077">
      <w:pPr>
        <w:tabs>
          <w:tab w:val="left" w:pos="440"/>
        </w:tabs>
        <w:spacing w:line="276" w:lineRule="auto"/>
        <w:jc w:val="both"/>
        <w:rPr>
          <w:rFonts w:ascii="Calibri" w:eastAsia="Calibri" w:hAnsi="Calibri"/>
          <w:bCs/>
          <w:sz w:val="22"/>
          <w:szCs w:val="20"/>
          <w:lang w:val="en-US" w:eastAsia="en-US"/>
        </w:rPr>
      </w:pPr>
    </w:p>
    <w:p w:rsidR="00F33077" w:rsidRPr="001870DC" w:rsidRDefault="00F33077" w:rsidP="00F33077">
      <w:pPr>
        <w:spacing w:line="276" w:lineRule="auto"/>
        <w:jc w:val="both"/>
        <w:rPr>
          <w:rFonts w:ascii="Calibri" w:hAnsi="Calibri" w:cs="Arial"/>
          <w:sz w:val="22"/>
          <w:szCs w:val="22"/>
          <w:lang w:val="en-GB"/>
        </w:rPr>
      </w:pPr>
      <w:r>
        <w:rPr>
          <w:rFonts w:ascii="Calibri" w:hAnsi="Calibri" w:cs="Arial"/>
          <w:sz w:val="22"/>
          <w:szCs w:val="22"/>
          <w:lang w:val="en-GB"/>
        </w:rPr>
        <w:t>In contrast, t</w:t>
      </w:r>
      <w:r w:rsidRPr="001870DC">
        <w:rPr>
          <w:rFonts w:ascii="Calibri" w:hAnsi="Calibri" w:cs="Arial"/>
          <w:sz w:val="22"/>
          <w:szCs w:val="22"/>
          <w:lang w:val="en-GB"/>
        </w:rPr>
        <w:t>he biggest challenge</w:t>
      </w:r>
      <w:r>
        <w:rPr>
          <w:rFonts w:ascii="Calibri" w:hAnsi="Calibri" w:cs="Arial"/>
          <w:sz w:val="22"/>
          <w:szCs w:val="22"/>
          <w:lang w:val="en-GB"/>
        </w:rPr>
        <w:t xml:space="preserve"> during the BIA analysis</w:t>
      </w:r>
      <w:r w:rsidRPr="001870DC">
        <w:rPr>
          <w:rFonts w:ascii="Calibri" w:hAnsi="Calibri" w:cs="Arial"/>
          <w:sz w:val="22"/>
          <w:szCs w:val="22"/>
          <w:lang w:val="en-GB"/>
        </w:rPr>
        <w:t xml:space="preserve"> came from looking for ways to estimate and present the data. For example, for Table </w:t>
      </w:r>
      <w:r>
        <w:rPr>
          <w:rFonts w:ascii="Calibri" w:hAnsi="Calibri" w:cs="Arial"/>
          <w:sz w:val="22"/>
          <w:szCs w:val="22"/>
          <w:lang w:val="en-GB"/>
        </w:rPr>
        <w:t>8</w:t>
      </w:r>
      <w:r w:rsidRPr="001870DC">
        <w:rPr>
          <w:rFonts w:ascii="Calibri" w:hAnsi="Calibri" w:cs="Arial"/>
          <w:sz w:val="22"/>
          <w:szCs w:val="22"/>
          <w:lang w:val="en-GB"/>
        </w:rPr>
        <w:t xml:space="preserve"> there were no direct measurements of water usage classified by connection and expenditure level. Therefore, an estimated price had to be used. This meant searching the price structures for 50 EPS and calculating the average for each department. </w:t>
      </w:r>
    </w:p>
    <w:p w:rsidR="00F33077" w:rsidRPr="001870DC" w:rsidRDefault="00F33077" w:rsidP="00F33077">
      <w:pPr>
        <w:spacing w:line="276" w:lineRule="auto"/>
        <w:ind w:firstLine="330"/>
        <w:jc w:val="both"/>
        <w:rPr>
          <w:rFonts w:ascii="Calibri" w:hAnsi="Calibri" w:cs="Arial"/>
          <w:sz w:val="22"/>
          <w:szCs w:val="22"/>
          <w:lang w:val="en-GB"/>
        </w:rPr>
      </w:pPr>
    </w:p>
    <w:p w:rsidR="00F33077" w:rsidRDefault="00F33077" w:rsidP="00F33077">
      <w:pPr>
        <w:spacing w:line="276" w:lineRule="auto"/>
        <w:jc w:val="both"/>
        <w:rPr>
          <w:rFonts w:ascii="Calibri" w:hAnsi="Calibri" w:cs="Arial"/>
          <w:sz w:val="22"/>
          <w:szCs w:val="22"/>
          <w:lang w:val="en-GB"/>
        </w:rPr>
      </w:pPr>
      <w:r w:rsidRPr="001870DC">
        <w:rPr>
          <w:rFonts w:ascii="Calibri" w:hAnsi="Calibri" w:cs="Arial"/>
          <w:sz w:val="22"/>
          <w:szCs w:val="22"/>
          <w:lang w:val="en-GB"/>
        </w:rPr>
        <w:t xml:space="preserve">Another important issue is </w:t>
      </w:r>
      <w:r w:rsidR="006A7B38">
        <w:rPr>
          <w:rFonts w:ascii="Calibri" w:hAnsi="Calibri" w:cs="Arial"/>
          <w:sz w:val="22"/>
          <w:szCs w:val="22"/>
          <w:lang w:val="en-GB"/>
        </w:rPr>
        <w:t xml:space="preserve">our definition of subsidy. We have assumed that the money spent under </w:t>
      </w:r>
      <w:r w:rsidRPr="001870DC">
        <w:rPr>
          <w:rFonts w:ascii="Calibri" w:hAnsi="Calibri" w:cs="Arial"/>
          <w:sz w:val="22"/>
          <w:szCs w:val="22"/>
          <w:lang w:val="en-GB"/>
        </w:rPr>
        <w:t>the program “Agua para Todos”</w:t>
      </w:r>
      <w:r w:rsidR="006A7B38">
        <w:rPr>
          <w:rFonts w:ascii="Calibri" w:hAnsi="Calibri" w:cs="Arial"/>
          <w:sz w:val="22"/>
          <w:szCs w:val="22"/>
          <w:lang w:val="en-GB"/>
        </w:rPr>
        <w:t xml:space="preserve"> since the start of this administration is the right way to compute the subsidy. Our argument is that this type of investment</w:t>
      </w:r>
      <w:r w:rsidRPr="001870DC">
        <w:rPr>
          <w:rFonts w:ascii="Calibri" w:hAnsi="Calibri" w:cs="Arial"/>
          <w:sz w:val="22"/>
          <w:szCs w:val="22"/>
          <w:lang w:val="en-GB"/>
        </w:rPr>
        <w:t xml:space="preserve"> usually take</w:t>
      </w:r>
      <w:r w:rsidR="006A7B38">
        <w:rPr>
          <w:rFonts w:ascii="Calibri" w:hAnsi="Calibri" w:cs="Arial"/>
          <w:sz w:val="22"/>
          <w:szCs w:val="22"/>
          <w:lang w:val="en-GB"/>
        </w:rPr>
        <w:t>s</w:t>
      </w:r>
      <w:r w:rsidRPr="001870DC">
        <w:rPr>
          <w:rFonts w:ascii="Calibri" w:hAnsi="Calibri" w:cs="Arial"/>
          <w:sz w:val="22"/>
          <w:szCs w:val="22"/>
          <w:lang w:val="en-GB"/>
        </w:rPr>
        <w:t xml:space="preserve"> more than two years in order to be completed. </w:t>
      </w:r>
    </w:p>
    <w:p w:rsidR="00F33077" w:rsidRDefault="00F33077" w:rsidP="00F33077">
      <w:pPr>
        <w:spacing w:line="276" w:lineRule="auto"/>
        <w:jc w:val="both"/>
        <w:rPr>
          <w:rFonts w:ascii="Calibri" w:hAnsi="Calibri" w:cs="Arial"/>
          <w:sz w:val="22"/>
          <w:szCs w:val="22"/>
          <w:lang w:val="en-GB"/>
        </w:rPr>
      </w:pPr>
    </w:p>
    <w:p w:rsidR="00F33077" w:rsidRPr="001870DC" w:rsidRDefault="00F33077" w:rsidP="00F33077">
      <w:pPr>
        <w:spacing w:line="276" w:lineRule="auto"/>
        <w:jc w:val="both"/>
        <w:rPr>
          <w:rFonts w:ascii="Calibri" w:hAnsi="Calibri" w:cs="Arial"/>
          <w:sz w:val="22"/>
          <w:szCs w:val="22"/>
          <w:lang w:val="en-GB"/>
        </w:rPr>
      </w:pPr>
      <w:r w:rsidRPr="001870DC">
        <w:rPr>
          <w:rFonts w:ascii="Calibri" w:hAnsi="Calibri" w:cs="Arial"/>
          <w:sz w:val="22"/>
          <w:szCs w:val="22"/>
          <w:lang w:val="en-GB"/>
        </w:rPr>
        <w:t xml:space="preserve">Also, due to the </w:t>
      </w:r>
      <w:r w:rsidR="006A7B38">
        <w:rPr>
          <w:rFonts w:ascii="Calibri" w:hAnsi="Calibri" w:cs="Arial"/>
          <w:sz w:val="22"/>
          <w:szCs w:val="22"/>
          <w:lang w:val="en-GB"/>
        </w:rPr>
        <w:t xml:space="preserve">large number </w:t>
      </w:r>
      <w:r w:rsidRPr="001870DC">
        <w:rPr>
          <w:rFonts w:ascii="Calibri" w:hAnsi="Calibri" w:cs="Arial"/>
          <w:sz w:val="22"/>
          <w:szCs w:val="22"/>
          <w:lang w:val="en-GB"/>
        </w:rPr>
        <w:t>of projects, some simplifications were needed, like the ones explained in part V</w:t>
      </w:r>
      <w:r>
        <w:rPr>
          <w:rFonts w:ascii="Calibri" w:hAnsi="Calibri" w:cs="Arial"/>
          <w:sz w:val="22"/>
          <w:szCs w:val="22"/>
          <w:lang w:val="en-GB"/>
        </w:rPr>
        <w:t>II</w:t>
      </w:r>
      <w:r w:rsidRPr="001870DC">
        <w:rPr>
          <w:rFonts w:ascii="Calibri" w:hAnsi="Calibri" w:cs="Arial"/>
          <w:sz w:val="22"/>
          <w:szCs w:val="22"/>
          <w:lang w:val="en-GB"/>
        </w:rPr>
        <w:t xml:space="preserve"> of the present document. One important way to simplify the procedures and resort to fewer assumptions </w:t>
      </w:r>
      <w:r>
        <w:rPr>
          <w:rFonts w:ascii="Calibri" w:hAnsi="Calibri" w:cs="Arial"/>
          <w:sz w:val="22"/>
          <w:szCs w:val="22"/>
          <w:lang w:val="en-GB"/>
        </w:rPr>
        <w:t>would be</w:t>
      </w:r>
      <w:r w:rsidRPr="001870DC">
        <w:rPr>
          <w:rFonts w:ascii="Calibri" w:hAnsi="Calibri" w:cs="Arial"/>
          <w:sz w:val="22"/>
          <w:szCs w:val="22"/>
          <w:lang w:val="en-GB"/>
        </w:rPr>
        <w:t xml:space="preserve"> to include a question in the ENAHO for the amount of water </w:t>
      </w:r>
      <w:r w:rsidR="006A7B38">
        <w:rPr>
          <w:rFonts w:ascii="Calibri" w:hAnsi="Calibri" w:cs="Arial"/>
          <w:sz w:val="22"/>
          <w:szCs w:val="22"/>
          <w:lang w:val="en-GB"/>
        </w:rPr>
        <w:t xml:space="preserve">(in cubic meters) </w:t>
      </w:r>
      <w:r w:rsidRPr="001870DC">
        <w:rPr>
          <w:rFonts w:ascii="Calibri" w:hAnsi="Calibri" w:cs="Arial"/>
          <w:sz w:val="22"/>
          <w:szCs w:val="22"/>
          <w:lang w:val="en-GB"/>
        </w:rPr>
        <w:t>consum</w:t>
      </w:r>
      <w:r w:rsidR="006A7B38">
        <w:rPr>
          <w:rFonts w:ascii="Calibri" w:hAnsi="Calibri" w:cs="Arial"/>
          <w:sz w:val="22"/>
          <w:szCs w:val="22"/>
          <w:lang w:val="en-GB"/>
        </w:rPr>
        <w:t>ed</w:t>
      </w:r>
      <w:r w:rsidRPr="001870DC">
        <w:rPr>
          <w:rFonts w:ascii="Calibri" w:hAnsi="Calibri" w:cs="Arial"/>
          <w:sz w:val="22"/>
          <w:szCs w:val="22"/>
          <w:lang w:val="en-GB"/>
        </w:rPr>
        <w:t>, instead of only expenditure.</w:t>
      </w:r>
    </w:p>
    <w:p w:rsidR="00F33077" w:rsidRPr="001870DC" w:rsidRDefault="00F33077" w:rsidP="00F33077">
      <w:pPr>
        <w:spacing w:line="276" w:lineRule="auto"/>
        <w:ind w:firstLine="330"/>
        <w:jc w:val="both"/>
        <w:rPr>
          <w:rFonts w:ascii="Calibri" w:hAnsi="Calibri" w:cs="Arial"/>
          <w:sz w:val="22"/>
          <w:szCs w:val="22"/>
          <w:lang w:val="en-GB"/>
        </w:rPr>
      </w:pPr>
    </w:p>
    <w:p w:rsidR="00F33077" w:rsidRPr="000E46AE" w:rsidRDefault="00F33077" w:rsidP="00F33077">
      <w:pPr>
        <w:spacing w:line="276" w:lineRule="auto"/>
        <w:jc w:val="both"/>
        <w:rPr>
          <w:rFonts w:ascii="Calibri" w:hAnsi="Calibri" w:cs="Arial"/>
          <w:sz w:val="22"/>
          <w:szCs w:val="22"/>
          <w:lang w:val="en-US"/>
        </w:rPr>
      </w:pPr>
      <w:r w:rsidRPr="001870DC">
        <w:rPr>
          <w:rFonts w:ascii="Calibri" w:hAnsi="Calibri" w:cs="Arial"/>
          <w:sz w:val="22"/>
          <w:szCs w:val="22"/>
          <w:lang w:val="en-GB"/>
        </w:rPr>
        <w:t xml:space="preserve">Another issue is the level of detail for the geographical location of beneficiaries. In some projects that involve more than one district, a clear division of </w:t>
      </w:r>
      <w:r w:rsidR="005049AA">
        <w:rPr>
          <w:rFonts w:ascii="Calibri" w:hAnsi="Calibri" w:cs="Arial"/>
          <w:sz w:val="22"/>
          <w:szCs w:val="22"/>
          <w:lang w:val="en-GB"/>
        </w:rPr>
        <w:t xml:space="preserve">beneficiaries and investments </w:t>
      </w:r>
      <w:r w:rsidRPr="001870DC">
        <w:rPr>
          <w:rFonts w:ascii="Calibri" w:hAnsi="Calibri" w:cs="Arial"/>
          <w:sz w:val="22"/>
          <w:szCs w:val="22"/>
          <w:lang w:val="en-GB"/>
        </w:rPr>
        <w:t>is needed. Therefore</w:t>
      </w:r>
      <w:r>
        <w:rPr>
          <w:rFonts w:ascii="Calibri" w:hAnsi="Calibri" w:cs="Arial"/>
          <w:sz w:val="22"/>
          <w:szCs w:val="22"/>
          <w:lang w:val="en-GB"/>
        </w:rPr>
        <w:t>,</w:t>
      </w:r>
      <w:r w:rsidRPr="001870DC">
        <w:rPr>
          <w:rFonts w:ascii="Calibri" w:hAnsi="Calibri" w:cs="Arial"/>
          <w:sz w:val="22"/>
          <w:szCs w:val="22"/>
          <w:lang w:val="en-GB"/>
        </w:rPr>
        <w:t xml:space="preserve"> aggregated district information is </w:t>
      </w:r>
      <w:r w:rsidR="005049AA">
        <w:rPr>
          <w:rFonts w:ascii="Calibri" w:hAnsi="Calibri" w:cs="Arial"/>
          <w:sz w:val="22"/>
          <w:szCs w:val="22"/>
          <w:lang w:val="en-GB"/>
        </w:rPr>
        <w:t xml:space="preserve">required for </w:t>
      </w:r>
      <w:r w:rsidRPr="001870DC">
        <w:rPr>
          <w:rFonts w:ascii="Calibri" w:hAnsi="Calibri" w:cs="Arial"/>
          <w:sz w:val="22"/>
          <w:szCs w:val="22"/>
          <w:lang w:val="en-GB"/>
        </w:rPr>
        <w:t>each of the programs</w:t>
      </w:r>
      <w:r w:rsidR="005049AA">
        <w:rPr>
          <w:rFonts w:ascii="Calibri" w:hAnsi="Calibri" w:cs="Arial"/>
          <w:sz w:val="22"/>
          <w:szCs w:val="22"/>
          <w:lang w:val="en-GB"/>
        </w:rPr>
        <w:t xml:space="preserve"> Involved.</w:t>
      </w:r>
      <w:r w:rsidRPr="001870DC">
        <w:rPr>
          <w:rFonts w:ascii="Calibri" w:hAnsi="Calibri" w:cs="Arial"/>
          <w:sz w:val="22"/>
          <w:szCs w:val="22"/>
          <w:lang w:val="en-GB"/>
        </w:rPr>
        <w:t xml:space="preserve"> </w:t>
      </w:r>
    </w:p>
    <w:p w:rsidR="00F33077" w:rsidRDefault="00F33077" w:rsidP="00F33077">
      <w:pPr>
        <w:rPr>
          <w:lang w:val="en-GB"/>
        </w:rPr>
      </w:pPr>
    </w:p>
    <w:p w:rsidR="00035270" w:rsidRPr="00035270" w:rsidRDefault="00035270" w:rsidP="00F33077">
      <w:pPr>
        <w:rPr>
          <w:sz w:val="16"/>
          <w:szCs w:val="16"/>
          <w:lang w:val="en-GB"/>
        </w:rPr>
      </w:pPr>
      <w:r>
        <w:rPr>
          <w:lang w:val="en-GB"/>
        </w:rPr>
        <w:br w:type="page"/>
      </w:r>
    </w:p>
    <w:p w:rsidR="00F33077" w:rsidRPr="00F33077" w:rsidRDefault="00F33077" w:rsidP="00035270">
      <w:pPr>
        <w:pStyle w:val="Graciela1"/>
        <w:spacing w:before="0"/>
        <w:rPr>
          <w:kern w:val="0"/>
          <w:lang w:eastAsia="en-US"/>
        </w:rPr>
      </w:pPr>
      <w:bookmarkStart w:id="30" w:name="_Toc254912262"/>
      <w:r w:rsidRPr="00F33077">
        <w:rPr>
          <w:kern w:val="0"/>
          <w:lang w:eastAsia="en-US"/>
        </w:rPr>
        <w:lastRenderedPageBreak/>
        <w:t>VI. Possible extensions</w:t>
      </w:r>
      <w:bookmarkEnd w:id="30"/>
    </w:p>
    <w:p w:rsidR="00F33077" w:rsidRPr="00F33077" w:rsidRDefault="00F33077" w:rsidP="00F33077">
      <w:pPr>
        <w:rPr>
          <w:lang w:val="en-GB" w:eastAsia="en-US"/>
        </w:rPr>
      </w:pPr>
    </w:p>
    <w:p w:rsidR="00F33077" w:rsidRPr="00F33077" w:rsidRDefault="00F33077" w:rsidP="00F33077">
      <w:pPr>
        <w:rPr>
          <w:lang w:val="en-US" w:eastAsia="en-US"/>
        </w:rPr>
      </w:pPr>
    </w:p>
    <w:p w:rsidR="00F33077" w:rsidRPr="008A4203" w:rsidRDefault="00F33077" w:rsidP="00F33077">
      <w:pPr>
        <w:tabs>
          <w:tab w:val="left" w:pos="440"/>
        </w:tabs>
        <w:spacing w:line="276" w:lineRule="auto"/>
        <w:jc w:val="both"/>
        <w:rPr>
          <w:rFonts w:ascii="Calibri" w:eastAsia="Calibri" w:hAnsi="Calibri"/>
          <w:bCs/>
          <w:sz w:val="22"/>
          <w:szCs w:val="20"/>
          <w:lang w:val="en-US" w:eastAsia="en-US"/>
        </w:rPr>
      </w:pPr>
      <w:r w:rsidRPr="008A4203">
        <w:rPr>
          <w:rFonts w:ascii="Calibri" w:eastAsia="Calibri" w:hAnsi="Calibri"/>
          <w:bCs/>
          <w:sz w:val="22"/>
          <w:szCs w:val="20"/>
          <w:lang w:val="en-US" w:eastAsia="en-US"/>
        </w:rPr>
        <w:t xml:space="preserve">One interesting extension to this analysis is to evaluate the expenditure in this sector from the </w:t>
      </w:r>
      <w:r w:rsidR="007C54DE" w:rsidRPr="008A4203">
        <w:rPr>
          <w:rFonts w:ascii="Calibri" w:eastAsia="Calibri" w:hAnsi="Calibri"/>
          <w:bCs/>
          <w:sz w:val="22"/>
          <w:szCs w:val="20"/>
          <w:lang w:val="en-US" w:eastAsia="en-US"/>
        </w:rPr>
        <w:t>users’</w:t>
      </w:r>
      <w:r w:rsidRPr="008A4203">
        <w:rPr>
          <w:rFonts w:ascii="Calibri" w:eastAsia="Calibri" w:hAnsi="Calibri"/>
          <w:bCs/>
          <w:sz w:val="22"/>
          <w:szCs w:val="20"/>
          <w:lang w:val="en-US" w:eastAsia="en-US"/>
        </w:rPr>
        <w:t xml:space="preserve"> point of view. For example, survey communities to know if they consider the investments made </w:t>
      </w:r>
      <w:r w:rsidR="007C54DE">
        <w:rPr>
          <w:rFonts w:ascii="Calibri" w:eastAsia="Calibri" w:hAnsi="Calibri"/>
          <w:bCs/>
          <w:sz w:val="22"/>
          <w:szCs w:val="20"/>
          <w:lang w:val="en-US" w:eastAsia="en-US"/>
        </w:rPr>
        <w:t xml:space="preserve">were adequate compared with </w:t>
      </w:r>
      <w:r w:rsidRPr="008A4203">
        <w:rPr>
          <w:rFonts w:ascii="Calibri" w:eastAsia="Calibri" w:hAnsi="Calibri"/>
          <w:bCs/>
          <w:sz w:val="22"/>
          <w:szCs w:val="20"/>
          <w:lang w:val="en-US" w:eastAsia="en-US"/>
        </w:rPr>
        <w:t>their needs.</w:t>
      </w:r>
      <w:r>
        <w:rPr>
          <w:rFonts w:ascii="Calibri" w:eastAsia="Calibri" w:hAnsi="Calibri"/>
          <w:bCs/>
          <w:sz w:val="22"/>
          <w:szCs w:val="20"/>
          <w:lang w:val="en-US" w:eastAsia="en-US"/>
        </w:rPr>
        <w:t xml:space="preserve"> </w:t>
      </w:r>
      <w:r w:rsidRPr="008A4203">
        <w:rPr>
          <w:rFonts w:ascii="Calibri" w:eastAsia="Calibri" w:hAnsi="Calibri"/>
          <w:bCs/>
          <w:sz w:val="22"/>
          <w:szCs w:val="20"/>
          <w:lang w:val="en-US" w:eastAsia="en-US"/>
        </w:rPr>
        <w:t xml:space="preserve">Also, it could </w:t>
      </w:r>
      <w:r w:rsidR="007C54DE">
        <w:rPr>
          <w:rFonts w:ascii="Calibri" w:eastAsia="Calibri" w:hAnsi="Calibri"/>
          <w:bCs/>
          <w:sz w:val="22"/>
          <w:szCs w:val="20"/>
          <w:lang w:val="en-US" w:eastAsia="en-US"/>
        </w:rPr>
        <w:t xml:space="preserve">be </w:t>
      </w:r>
      <w:r w:rsidRPr="008A4203">
        <w:rPr>
          <w:rFonts w:ascii="Calibri" w:eastAsia="Calibri" w:hAnsi="Calibri"/>
          <w:bCs/>
          <w:sz w:val="22"/>
          <w:szCs w:val="20"/>
          <w:lang w:val="en-US" w:eastAsia="en-US"/>
        </w:rPr>
        <w:t>ask</w:t>
      </w:r>
      <w:r w:rsidR="007C54DE">
        <w:rPr>
          <w:rFonts w:ascii="Calibri" w:eastAsia="Calibri" w:hAnsi="Calibri"/>
          <w:bCs/>
          <w:sz w:val="22"/>
          <w:szCs w:val="20"/>
          <w:lang w:val="en-US" w:eastAsia="en-US"/>
        </w:rPr>
        <w:t>ed</w:t>
      </w:r>
      <w:r w:rsidRPr="008A4203">
        <w:rPr>
          <w:rFonts w:ascii="Calibri" w:eastAsia="Calibri" w:hAnsi="Calibri"/>
          <w:bCs/>
          <w:sz w:val="22"/>
          <w:szCs w:val="20"/>
          <w:lang w:val="en-US" w:eastAsia="en-US"/>
        </w:rPr>
        <w:t xml:space="preserve"> their degree of satisfaction with the projects. This subjective quality perception might help policy makers </w:t>
      </w:r>
      <w:r>
        <w:rPr>
          <w:rFonts w:ascii="Calibri" w:eastAsia="Calibri" w:hAnsi="Calibri"/>
          <w:bCs/>
          <w:sz w:val="22"/>
          <w:szCs w:val="20"/>
          <w:lang w:val="en-US" w:eastAsia="en-US"/>
        </w:rPr>
        <w:t xml:space="preserve">to </w:t>
      </w:r>
      <w:r w:rsidRPr="008A4203">
        <w:rPr>
          <w:rFonts w:ascii="Calibri" w:eastAsia="Calibri" w:hAnsi="Calibri"/>
          <w:bCs/>
          <w:sz w:val="22"/>
          <w:szCs w:val="20"/>
          <w:lang w:val="en-US" w:eastAsia="en-US"/>
        </w:rPr>
        <w:t>take into account expectations for future programs and empower the population by giving them voice in the process.</w:t>
      </w:r>
    </w:p>
    <w:p w:rsidR="00F33077" w:rsidRPr="008A4203" w:rsidRDefault="00F33077" w:rsidP="00F33077">
      <w:pPr>
        <w:tabs>
          <w:tab w:val="left" w:pos="440"/>
        </w:tabs>
        <w:spacing w:line="276" w:lineRule="auto"/>
        <w:jc w:val="both"/>
        <w:rPr>
          <w:rFonts w:ascii="Calibri" w:eastAsia="Calibri" w:hAnsi="Calibri"/>
          <w:bCs/>
          <w:sz w:val="22"/>
          <w:szCs w:val="20"/>
          <w:lang w:val="en-US" w:eastAsia="en-US"/>
        </w:rPr>
      </w:pPr>
    </w:p>
    <w:p w:rsidR="00F33077" w:rsidRPr="000D2EDF" w:rsidRDefault="00F33077" w:rsidP="00F33077">
      <w:pPr>
        <w:spacing w:line="276" w:lineRule="auto"/>
        <w:jc w:val="both"/>
        <w:rPr>
          <w:rFonts w:ascii="Calibri" w:hAnsi="Calibri" w:cs="Arial"/>
          <w:sz w:val="22"/>
          <w:szCs w:val="22"/>
          <w:lang w:val="en-GB"/>
        </w:rPr>
      </w:pPr>
      <w:r>
        <w:rPr>
          <w:rFonts w:ascii="Calibri" w:hAnsi="Calibri" w:cs="Arial"/>
          <w:sz w:val="22"/>
          <w:szCs w:val="22"/>
          <w:lang w:val="en-GB"/>
        </w:rPr>
        <w:t>It would also be a</w:t>
      </w:r>
      <w:r w:rsidRPr="007E2141">
        <w:rPr>
          <w:rFonts w:ascii="Calibri" w:hAnsi="Calibri" w:cs="Arial"/>
          <w:sz w:val="22"/>
          <w:szCs w:val="22"/>
          <w:lang w:val="en-GB"/>
        </w:rPr>
        <w:t xml:space="preserve">n interesting possible extension to analyze </w:t>
      </w:r>
      <w:r w:rsidR="007C54DE">
        <w:rPr>
          <w:rFonts w:ascii="Calibri" w:hAnsi="Calibri" w:cs="Arial"/>
          <w:sz w:val="22"/>
          <w:szCs w:val="22"/>
          <w:lang w:val="en-GB"/>
        </w:rPr>
        <w:t xml:space="preserve">how is </w:t>
      </w:r>
      <w:r w:rsidRPr="007E2141">
        <w:rPr>
          <w:rFonts w:ascii="Calibri" w:hAnsi="Calibri" w:cs="Arial"/>
          <w:sz w:val="22"/>
          <w:szCs w:val="22"/>
          <w:lang w:val="en-GB"/>
        </w:rPr>
        <w:t>the process in which a</w:t>
      </w:r>
      <w:r w:rsidR="007C54DE">
        <w:rPr>
          <w:rFonts w:ascii="Calibri" w:hAnsi="Calibri" w:cs="Arial"/>
          <w:sz w:val="22"/>
          <w:szCs w:val="22"/>
          <w:lang w:val="en-GB"/>
        </w:rPr>
        <w:t xml:space="preserve"> part of the </w:t>
      </w:r>
      <w:r w:rsidRPr="007E2141">
        <w:rPr>
          <w:rFonts w:ascii="Calibri" w:hAnsi="Calibri" w:cs="Arial"/>
          <w:sz w:val="22"/>
          <w:szCs w:val="22"/>
          <w:lang w:val="en-GB"/>
        </w:rPr>
        <w:t>population acces</w:t>
      </w:r>
      <w:r w:rsidR="007C54DE">
        <w:rPr>
          <w:rFonts w:ascii="Calibri" w:hAnsi="Calibri" w:cs="Arial"/>
          <w:sz w:val="22"/>
          <w:szCs w:val="22"/>
          <w:lang w:val="en-GB"/>
        </w:rPr>
        <w:t>s</w:t>
      </w:r>
      <w:r w:rsidRPr="007E2141">
        <w:rPr>
          <w:rFonts w:ascii="Calibri" w:hAnsi="Calibri" w:cs="Arial"/>
          <w:sz w:val="22"/>
          <w:szCs w:val="22"/>
          <w:lang w:val="en-GB"/>
        </w:rPr>
        <w:t xml:space="preserve"> water services. When it starts as a rural or distant community, first it may receive public connections or depend on natural sources like rivers and wells. However, once it reaches a critical mass, </w:t>
      </w:r>
      <w:r w:rsidR="007C54DE">
        <w:rPr>
          <w:rFonts w:ascii="Calibri" w:hAnsi="Calibri" w:cs="Arial"/>
          <w:sz w:val="22"/>
          <w:szCs w:val="22"/>
          <w:lang w:val="en-GB"/>
        </w:rPr>
        <w:t xml:space="preserve">it </w:t>
      </w:r>
      <w:r w:rsidRPr="007E2141">
        <w:rPr>
          <w:rFonts w:ascii="Calibri" w:hAnsi="Calibri" w:cs="Arial"/>
          <w:sz w:val="22"/>
          <w:szCs w:val="22"/>
          <w:lang w:val="en-GB"/>
        </w:rPr>
        <w:t>m</w:t>
      </w:r>
      <w:r w:rsidR="007C54DE">
        <w:rPr>
          <w:rFonts w:ascii="Calibri" w:hAnsi="Calibri" w:cs="Arial"/>
          <w:sz w:val="22"/>
          <w:szCs w:val="22"/>
          <w:lang w:val="en-GB"/>
        </w:rPr>
        <w:t>ight</w:t>
      </w:r>
      <w:r w:rsidRPr="007E2141">
        <w:rPr>
          <w:rFonts w:ascii="Calibri" w:hAnsi="Calibri" w:cs="Arial"/>
          <w:sz w:val="22"/>
          <w:szCs w:val="22"/>
          <w:lang w:val="en-GB"/>
        </w:rPr>
        <w:t xml:space="preserve"> be</w:t>
      </w:r>
      <w:r w:rsidR="007C54DE">
        <w:rPr>
          <w:rFonts w:ascii="Calibri" w:hAnsi="Calibri" w:cs="Arial"/>
          <w:sz w:val="22"/>
          <w:szCs w:val="22"/>
          <w:lang w:val="en-GB"/>
        </w:rPr>
        <w:t>come</w:t>
      </w:r>
      <w:r w:rsidRPr="007E2141">
        <w:rPr>
          <w:rFonts w:ascii="Calibri" w:hAnsi="Calibri" w:cs="Arial"/>
          <w:sz w:val="22"/>
          <w:szCs w:val="22"/>
          <w:lang w:val="en-GB"/>
        </w:rPr>
        <w:t xml:space="preserve"> </w:t>
      </w:r>
      <w:r w:rsidR="007C54DE">
        <w:rPr>
          <w:rFonts w:ascii="Calibri" w:hAnsi="Calibri" w:cs="Arial"/>
          <w:sz w:val="22"/>
          <w:szCs w:val="22"/>
          <w:lang w:val="en-GB"/>
        </w:rPr>
        <w:t xml:space="preserve">of </w:t>
      </w:r>
      <w:r w:rsidRPr="007E2141">
        <w:rPr>
          <w:rFonts w:ascii="Calibri" w:hAnsi="Calibri" w:cs="Arial"/>
          <w:sz w:val="22"/>
          <w:szCs w:val="22"/>
          <w:lang w:val="en-GB"/>
        </w:rPr>
        <w:t xml:space="preserve">interest </w:t>
      </w:r>
      <w:r w:rsidR="007C54DE">
        <w:rPr>
          <w:rFonts w:ascii="Calibri" w:hAnsi="Calibri" w:cs="Arial"/>
          <w:sz w:val="22"/>
          <w:szCs w:val="22"/>
          <w:lang w:val="en-GB"/>
        </w:rPr>
        <w:t xml:space="preserve">to </w:t>
      </w:r>
      <w:r w:rsidRPr="007E2141">
        <w:rPr>
          <w:rFonts w:ascii="Calibri" w:hAnsi="Calibri" w:cs="Arial"/>
          <w:sz w:val="22"/>
          <w:szCs w:val="22"/>
          <w:lang w:val="en-GB"/>
        </w:rPr>
        <w:t>provid</w:t>
      </w:r>
      <w:r w:rsidR="007C54DE">
        <w:rPr>
          <w:rFonts w:ascii="Calibri" w:hAnsi="Calibri" w:cs="Arial"/>
          <w:sz w:val="22"/>
          <w:szCs w:val="22"/>
          <w:lang w:val="en-GB"/>
        </w:rPr>
        <w:t>e</w:t>
      </w:r>
      <w:r w:rsidRPr="007E2141">
        <w:rPr>
          <w:rFonts w:ascii="Calibri" w:hAnsi="Calibri" w:cs="Arial"/>
          <w:sz w:val="22"/>
          <w:szCs w:val="22"/>
          <w:lang w:val="en-GB"/>
        </w:rPr>
        <w:t xml:space="preserve"> them with private connections.</w:t>
      </w:r>
      <w:r>
        <w:rPr>
          <w:rFonts w:ascii="Calibri" w:hAnsi="Calibri" w:cs="Arial"/>
          <w:sz w:val="22"/>
          <w:szCs w:val="22"/>
          <w:lang w:val="en-GB"/>
        </w:rPr>
        <w:t xml:space="preserve"> </w:t>
      </w:r>
      <w:r w:rsidRPr="000D2EDF">
        <w:rPr>
          <w:rFonts w:ascii="Calibri" w:hAnsi="Calibri" w:cs="Arial"/>
          <w:sz w:val="22"/>
          <w:szCs w:val="22"/>
          <w:lang w:val="en-GB"/>
        </w:rPr>
        <w:t xml:space="preserve">This may also be a political decision, as the government may decide to invest in this service in order to boost its approval ratings in election </w:t>
      </w:r>
      <w:r w:rsidR="007C54DE">
        <w:rPr>
          <w:rFonts w:ascii="Calibri" w:hAnsi="Calibri" w:cs="Arial"/>
          <w:sz w:val="22"/>
          <w:szCs w:val="22"/>
          <w:lang w:val="en-GB"/>
        </w:rPr>
        <w:t>periods</w:t>
      </w:r>
      <w:r w:rsidRPr="000D2EDF">
        <w:rPr>
          <w:rFonts w:ascii="Calibri" w:hAnsi="Calibri" w:cs="Arial"/>
          <w:sz w:val="22"/>
          <w:szCs w:val="22"/>
          <w:lang w:val="en-GB"/>
        </w:rPr>
        <w:t xml:space="preserve">. Also, the level of organization and or income of the community may lead them to request this facility from their local authorities. Also, if there is a high incidence of diseases and mortality, the authorities may be more prone to invest in water and sanitation for the community. </w:t>
      </w:r>
    </w:p>
    <w:p w:rsidR="00F33077" w:rsidRDefault="00F33077" w:rsidP="00F33077">
      <w:pPr>
        <w:tabs>
          <w:tab w:val="left" w:pos="440"/>
        </w:tabs>
        <w:spacing w:line="276" w:lineRule="auto"/>
        <w:jc w:val="both"/>
        <w:rPr>
          <w:rFonts w:ascii="Calibri" w:eastAsia="Calibri" w:hAnsi="Calibri"/>
          <w:bCs/>
          <w:sz w:val="22"/>
          <w:szCs w:val="20"/>
          <w:lang w:val="en-US" w:eastAsia="en-US"/>
        </w:rPr>
      </w:pPr>
    </w:p>
    <w:p w:rsidR="00F33077" w:rsidRDefault="00F33077" w:rsidP="00F33077">
      <w:pPr>
        <w:tabs>
          <w:tab w:val="left" w:pos="440"/>
        </w:tabs>
        <w:spacing w:line="276" w:lineRule="auto"/>
        <w:jc w:val="both"/>
        <w:rPr>
          <w:rFonts w:ascii="Calibri" w:eastAsia="Calibri" w:hAnsi="Calibri"/>
          <w:bCs/>
          <w:sz w:val="22"/>
          <w:szCs w:val="20"/>
          <w:lang w:val="en-US" w:eastAsia="en-US"/>
        </w:rPr>
      </w:pPr>
      <w:r w:rsidRPr="008A4203">
        <w:rPr>
          <w:rFonts w:ascii="Calibri" w:eastAsia="Calibri" w:hAnsi="Calibri"/>
          <w:bCs/>
          <w:sz w:val="22"/>
          <w:szCs w:val="20"/>
          <w:lang w:val="en-US" w:eastAsia="en-US"/>
        </w:rPr>
        <w:t>Another relevant point that can be researched is how efficient is the process of implementing a project. To measure how budgeted costs and time line differ from the actual ones might provide important information about which companies do a better job and are more reliable.</w:t>
      </w:r>
      <w:r>
        <w:rPr>
          <w:rFonts w:ascii="Calibri" w:eastAsia="Calibri" w:hAnsi="Calibri"/>
          <w:bCs/>
          <w:sz w:val="22"/>
          <w:szCs w:val="20"/>
          <w:lang w:val="en-US" w:eastAsia="en-US"/>
        </w:rPr>
        <w:t xml:space="preserve"> </w:t>
      </w:r>
      <w:r w:rsidRPr="008A4203">
        <w:rPr>
          <w:rFonts w:ascii="Calibri" w:eastAsia="Calibri" w:hAnsi="Calibri"/>
          <w:bCs/>
          <w:sz w:val="22"/>
          <w:szCs w:val="20"/>
          <w:lang w:val="en-US" w:eastAsia="en-US"/>
        </w:rPr>
        <w:t>This information might be used later on as part of the decision process of elaborating tenders and awarding points to companies with better performance.</w:t>
      </w:r>
    </w:p>
    <w:p w:rsidR="0005364A" w:rsidRDefault="0005364A" w:rsidP="00F33077">
      <w:pPr>
        <w:tabs>
          <w:tab w:val="left" w:pos="440"/>
        </w:tabs>
        <w:spacing w:line="276" w:lineRule="auto"/>
        <w:jc w:val="both"/>
        <w:rPr>
          <w:rFonts w:ascii="Calibri" w:eastAsia="Calibri" w:hAnsi="Calibri"/>
          <w:bCs/>
          <w:sz w:val="22"/>
          <w:szCs w:val="20"/>
          <w:lang w:val="en-US" w:eastAsia="en-US"/>
        </w:rPr>
      </w:pPr>
    </w:p>
    <w:p w:rsidR="0005364A" w:rsidRPr="008A4203" w:rsidRDefault="0005364A" w:rsidP="00F33077">
      <w:pPr>
        <w:tabs>
          <w:tab w:val="left" w:pos="440"/>
        </w:tabs>
        <w:spacing w:line="276" w:lineRule="auto"/>
        <w:jc w:val="both"/>
        <w:rPr>
          <w:rFonts w:ascii="Calibri" w:eastAsia="Calibri" w:hAnsi="Calibri"/>
          <w:bCs/>
          <w:sz w:val="22"/>
          <w:szCs w:val="20"/>
          <w:lang w:val="en-US" w:eastAsia="en-US"/>
        </w:rPr>
      </w:pPr>
    </w:p>
    <w:p w:rsidR="00181B91" w:rsidRPr="0005364A" w:rsidRDefault="0005364A" w:rsidP="0005364A">
      <w:pPr>
        <w:pStyle w:val="Ttulo1"/>
        <w:keepLines/>
        <w:spacing w:before="0" w:after="0" w:line="276" w:lineRule="auto"/>
        <w:rPr>
          <w:rFonts w:ascii="Cambria" w:hAnsi="Cambria" w:cs="Times New Roman"/>
          <w:color w:val="365F91"/>
          <w:kern w:val="0"/>
          <w:sz w:val="16"/>
          <w:szCs w:val="16"/>
          <w:lang w:val="en-US" w:eastAsia="en-US"/>
        </w:rPr>
      </w:pPr>
      <w:r>
        <w:rPr>
          <w:rFonts w:ascii="Cambria" w:hAnsi="Cambria" w:cs="Times New Roman"/>
          <w:color w:val="365F91"/>
          <w:kern w:val="0"/>
          <w:sz w:val="28"/>
          <w:szCs w:val="28"/>
          <w:lang w:val="en-US" w:eastAsia="en-US"/>
        </w:rPr>
        <w:br w:type="page"/>
      </w:r>
    </w:p>
    <w:p w:rsidR="00181B91" w:rsidRDefault="00181B91" w:rsidP="0005364A">
      <w:pPr>
        <w:pStyle w:val="Graciela1"/>
        <w:spacing w:before="0"/>
        <w:rPr>
          <w:kern w:val="0"/>
          <w:lang w:eastAsia="en-US"/>
        </w:rPr>
      </w:pPr>
      <w:bookmarkStart w:id="31" w:name="_Toc254912263"/>
      <w:r>
        <w:rPr>
          <w:kern w:val="0"/>
          <w:lang w:eastAsia="en-US"/>
        </w:rPr>
        <w:lastRenderedPageBreak/>
        <w:t>VII. Plans for dissemination</w:t>
      </w:r>
      <w:bookmarkEnd w:id="31"/>
    </w:p>
    <w:p w:rsidR="00181B91" w:rsidRPr="00181B91" w:rsidRDefault="00181B91" w:rsidP="00181B91">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
        <w:gridCol w:w="4464"/>
        <w:gridCol w:w="2952"/>
      </w:tblGrid>
      <w:tr w:rsidR="00181B91" w:rsidRPr="00181B91" w:rsidTr="002A17E9">
        <w:tc>
          <w:tcPr>
            <w:tcW w:w="864" w:type="dxa"/>
          </w:tcPr>
          <w:p w:rsidR="00181B91" w:rsidRPr="00181B91" w:rsidRDefault="00181B91" w:rsidP="002A17E9">
            <w:pPr>
              <w:jc w:val="center"/>
              <w:rPr>
                <w:rFonts w:ascii="Calibri" w:hAnsi="Calibri"/>
                <w:b/>
                <w:sz w:val="22"/>
                <w:szCs w:val="22"/>
              </w:rPr>
            </w:pPr>
            <w:r w:rsidRPr="00181B91">
              <w:rPr>
                <w:rFonts w:ascii="Calibri" w:hAnsi="Calibri"/>
                <w:b/>
                <w:sz w:val="22"/>
                <w:szCs w:val="22"/>
              </w:rPr>
              <w:t>No.</w:t>
            </w:r>
          </w:p>
        </w:tc>
        <w:tc>
          <w:tcPr>
            <w:tcW w:w="4464" w:type="dxa"/>
          </w:tcPr>
          <w:p w:rsidR="00181B91" w:rsidRPr="00181B91" w:rsidRDefault="00181B91" w:rsidP="002A17E9">
            <w:pPr>
              <w:jc w:val="center"/>
              <w:rPr>
                <w:rFonts w:ascii="Calibri" w:hAnsi="Calibri"/>
                <w:b/>
                <w:sz w:val="22"/>
                <w:szCs w:val="22"/>
              </w:rPr>
            </w:pPr>
            <w:r w:rsidRPr="00181B91">
              <w:rPr>
                <w:rFonts w:ascii="Calibri" w:hAnsi="Calibri"/>
                <w:b/>
                <w:sz w:val="22"/>
                <w:szCs w:val="22"/>
              </w:rPr>
              <w:t>Product</w:t>
            </w:r>
          </w:p>
        </w:tc>
        <w:tc>
          <w:tcPr>
            <w:tcW w:w="2952" w:type="dxa"/>
          </w:tcPr>
          <w:p w:rsidR="00181B91" w:rsidRPr="00181B91" w:rsidRDefault="00181B91" w:rsidP="002A17E9">
            <w:pPr>
              <w:jc w:val="center"/>
              <w:rPr>
                <w:rFonts w:ascii="Calibri" w:hAnsi="Calibri"/>
                <w:b/>
                <w:sz w:val="22"/>
                <w:szCs w:val="22"/>
              </w:rPr>
            </w:pPr>
            <w:r w:rsidRPr="00181B91">
              <w:rPr>
                <w:rFonts w:ascii="Calibri" w:hAnsi="Calibri"/>
                <w:b/>
                <w:sz w:val="22"/>
                <w:szCs w:val="22"/>
              </w:rPr>
              <w:t>Comments</w:t>
            </w:r>
          </w:p>
        </w:tc>
      </w:tr>
      <w:tr w:rsidR="00181B91" w:rsidRPr="00181B91" w:rsidTr="002A17E9">
        <w:tc>
          <w:tcPr>
            <w:tcW w:w="864" w:type="dxa"/>
          </w:tcPr>
          <w:p w:rsidR="00181B91" w:rsidRPr="00181B91" w:rsidRDefault="00181B91" w:rsidP="002A17E9">
            <w:pPr>
              <w:jc w:val="center"/>
              <w:rPr>
                <w:rFonts w:ascii="Calibri" w:hAnsi="Calibri"/>
                <w:sz w:val="22"/>
                <w:szCs w:val="22"/>
              </w:rPr>
            </w:pPr>
            <w:r w:rsidRPr="00181B91">
              <w:rPr>
                <w:rFonts w:ascii="Calibri" w:hAnsi="Calibri"/>
                <w:sz w:val="22"/>
                <w:szCs w:val="22"/>
              </w:rPr>
              <w:t>1</w:t>
            </w:r>
          </w:p>
        </w:tc>
        <w:tc>
          <w:tcPr>
            <w:tcW w:w="4464" w:type="dxa"/>
          </w:tcPr>
          <w:p w:rsidR="00181B91" w:rsidRPr="00181B91" w:rsidRDefault="00181B91" w:rsidP="002A17E9">
            <w:pPr>
              <w:rPr>
                <w:rFonts w:ascii="Calibri" w:hAnsi="Calibri"/>
                <w:sz w:val="22"/>
                <w:szCs w:val="22"/>
              </w:rPr>
            </w:pPr>
            <w:r w:rsidRPr="00181B91">
              <w:rPr>
                <w:rFonts w:ascii="Calibri" w:hAnsi="Calibri"/>
                <w:sz w:val="22"/>
                <w:szCs w:val="22"/>
              </w:rPr>
              <w:t>Books</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 xml:space="preserve">It could be a </w:t>
            </w:r>
            <w:r w:rsidR="00080335" w:rsidRPr="00181B91">
              <w:rPr>
                <w:rFonts w:ascii="Calibri" w:hAnsi="Calibri"/>
                <w:sz w:val="22"/>
                <w:szCs w:val="22"/>
                <w:lang w:val="en-US"/>
              </w:rPr>
              <w:t>standalone</w:t>
            </w:r>
            <w:r w:rsidRPr="00181B91">
              <w:rPr>
                <w:rFonts w:ascii="Calibri" w:hAnsi="Calibri"/>
                <w:sz w:val="22"/>
                <w:szCs w:val="22"/>
                <w:lang w:val="en-US"/>
              </w:rPr>
              <w:t xml:space="preserve"> book, can collect other related pieces to prepare a specialized reading. Approximately 500.</w:t>
            </w:r>
          </w:p>
        </w:tc>
      </w:tr>
      <w:tr w:rsidR="00181B91" w:rsidRPr="00C472D2" w:rsidTr="002A17E9">
        <w:tc>
          <w:tcPr>
            <w:tcW w:w="864"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2</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Journal articles</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 xml:space="preserve">Te research center has a journal. </w:t>
            </w:r>
            <w:r w:rsidRPr="00181B91">
              <w:rPr>
                <w:rFonts w:ascii="Calibri" w:hAnsi="Calibri"/>
                <w:i/>
                <w:iCs/>
                <w:sz w:val="22"/>
                <w:szCs w:val="22"/>
                <w:lang w:val="en-US"/>
              </w:rPr>
              <w:t>Apuntes</w:t>
            </w:r>
            <w:r w:rsidRPr="00181B91">
              <w:rPr>
                <w:rFonts w:ascii="Calibri" w:hAnsi="Calibri"/>
                <w:iCs/>
                <w:sz w:val="22"/>
                <w:szCs w:val="22"/>
                <w:lang w:val="en-US"/>
              </w:rPr>
              <w:t>. Size of article 25 pages</w:t>
            </w:r>
            <w:r w:rsidRPr="00181B91">
              <w:rPr>
                <w:rFonts w:ascii="Calibri" w:hAnsi="Calibri"/>
                <w:i/>
                <w:iCs/>
                <w:sz w:val="22"/>
                <w:szCs w:val="22"/>
                <w:lang w:val="en-US"/>
              </w:rPr>
              <w:t>.</w:t>
            </w:r>
          </w:p>
        </w:tc>
      </w:tr>
      <w:tr w:rsidR="00181B91" w:rsidRPr="00C472D2" w:rsidTr="002A17E9">
        <w:tc>
          <w:tcPr>
            <w:tcW w:w="864"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3</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Web site of the research center</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Working document after passing a peer reviewing</w:t>
            </w:r>
          </w:p>
        </w:tc>
      </w:tr>
      <w:tr w:rsidR="00181B91" w:rsidRPr="00C472D2" w:rsidTr="002A17E9">
        <w:tc>
          <w:tcPr>
            <w:tcW w:w="864"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4</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Press conference with book launch</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The university normally prepares a press conference after a main seminar, or press is invited to the event</w:t>
            </w:r>
          </w:p>
        </w:tc>
      </w:tr>
      <w:tr w:rsidR="00181B91" w:rsidRPr="00C472D2" w:rsidTr="002A17E9">
        <w:tc>
          <w:tcPr>
            <w:tcW w:w="864" w:type="dxa"/>
          </w:tcPr>
          <w:p w:rsidR="00181B91" w:rsidRPr="00181B91" w:rsidRDefault="00FC7FB8" w:rsidP="002A17E9">
            <w:pPr>
              <w:jc w:val="center"/>
              <w:rPr>
                <w:rFonts w:ascii="Calibri" w:hAnsi="Calibri"/>
                <w:sz w:val="22"/>
                <w:szCs w:val="22"/>
                <w:lang w:val="en-US"/>
              </w:rPr>
            </w:pPr>
            <w:r>
              <w:rPr>
                <w:rFonts w:ascii="Calibri" w:hAnsi="Calibri"/>
                <w:sz w:val="22"/>
                <w:szCs w:val="22"/>
                <w:lang w:val="en-US"/>
              </w:rPr>
              <w:t>5</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Special memos or briefs requested by policymakers</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Next year will be election year, so it is a good time to have materials prepare for political parties</w:t>
            </w:r>
          </w:p>
        </w:tc>
      </w:tr>
      <w:tr w:rsidR="00181B91" w:rsidRPr="00C472D2" w:rsidTr="002A17E9">
        <w:tc>
          <w:tcPr>
            <w:tcW w:w="864" w:type="dxa"/>
          </w:tcPr>
          <w:p w:rsidR="00181B91" w:rsidRPr="00181B91" w:rsidRDefault="00181B91" w:rsidP="002A17E9">
            <w:pPr>
              <w:jc w:val="center"/>
              <w:rPr>
                <w:rFonts w:ascii="Calibri" w:hAnsi="Calibri"/>
                <w:sz w:val="22"/>
                <w:szCs w:val="22"/>
              </w:rPr>
            </w:pPr>
            <w:r w:rsidRPr="00181B91">
              <w:rPr>
                <w:rFonts w:ascii="Calibri" w:hAnsi="Calibri"/>
                <w:sz w:val="22"/>
                <w:szCs w:val="22"/>
              </w:rPr>
              <w:t>6</w:t>
            </w:r>
          </w:p>
        </w:tc>
        <w:tc>
          <w:tcPr>
            <w:tcW w:w="4464" w:type="dxa"/>
          </w:tcPr>
          <w:p w:rsidR="00181B91" w:rsidRPr="00181B91" w:rsidRDefault="00181B91" w:rsidP="002A17E9">
            <w:pPr>
              <w:rPr>
                <w:rFonts w:ascii="Calibri" w:hAnsi="Calibri"/>
                <w:sz w:val="22"/>
                <w:szCs w:val="22"/>
              </w:rPr>
            </w:pPr>
            <w:r w:rsidRPr="00181B91">
              <w:rPr>
                <w:rFonts w:ascii="Calibri" w:hAnsi="Calibri"/>
                <w:sz w:val="22"/>
                <w:szCs w:val="22"/>
              </w:rPr>
              <w:t>Roundtables &amp; similar events</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It is very possible that the team get contact with the National Council of Education</w:t>
            </w:r>
          </w:p>
        </w:tc>
      </w:tr>
      <w:tr w:rsidR="00181B91" w:rsidRPr="00C472D2" w:rsidTr="002A17E9">
        <w:tc>
          <w:tcPr>
            <w:tcW w:w="864" w:type="dxa"/>
          </w:tcPr>
          <w:p w:rsidR="00181B91" w:rsidRPr="00181B91" w:rsidRDefault="00181B91" w:rsidP="002A17E9">
            <w:pPr>
              <w:jc w:val="center"/>
              <w:rPr>
                <w:rFonts w:ascii="Calibri" w:hAnsi="Calibri"/>
                <w:sz w:val="22"/>
                <w:szCs w:val="22"/>
              </w:rPr>
            </w:pPr>
            <w:r w:rsidRPr="00181B91">
              <w:rPr>
                <w:rFonts w:ascii="Calibri" w:hAnsi="Calibri"/>
                <w:sz w:val="22"/>
                <w:szCs w:val="22"/>
              </w:rPr>
              <w:t>7</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Placing articles in newspapers, popular magazines</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 xml:space="preserve">Yes, also in the university magazine </w:t>
            </w:r>
            <w:r w:rsidRPr="00181B91">
              <w:rPr>
                <w:rFonts w:ascii="Calibri" w:hAnsi="Calibri"/>
                <w:i/>
                <w:iCs/>
                <w:sz w:val="22"/>
                <w:szCs w:val="22"/>
                <w:lang w:val="en-US"/>
              </w:rPr>
              <w:t xml:space="preserve">Punto de Equilibrio. </w:t>
            </w:r>
            <w:r w:rsidRPr="00181B91">
              <w:rPr>
                <w:rFonts w:ascii="Calibri" w:hAnsi="Calibri"/>
                <w:sz w:val="22"/>
                <w:szCs w:val="22"/>
                <w:lang w:val="en-US"/>
              </w:rPr>
              <w:t xml:space="preserve">Language less academic than in Journal </w:t>
            </w:r>
            <w:r w:rsidRPr="00181B91">
              <w:rPr>
                <w:rFonts w:ascii="Calibri" w:hAnsi="Calibri"/>
                <w:i/>
                <w:iCs/>
                <w:sz w:val="22"/>
                <w:szCs w:val="22"/>
                <w:lang w:val="en-US"/>
              </w:rPr>
              <w:t>Apuntes</w:t>
            </w:r>
          </w:p>
        </w:tc>
      </w:tr>
      <w:tr w:rsidR="00181B91" w:rsidRPr="00C472D2" w:rsidTr="002A17E9">
        <w:tc>
          <w:tcPr>
            <w:tcW w:w="864" w:type="dxa"/>
          </w:tcPr>
          <w:p w:rsidR="00181B91" w:rsidRPr="00181B91" w:rsidRDefault="00181B91" w:rsidP="002A17E9">
            <w:pPr>
              <w:jc w:val="center"/>
              <w:rPr>
                <w:rFonts w:ascii="Calibri" w:hAnsi="Calibri"/>
                <w:sz w:val="22"/>
                <w:szCs w:val="22"/>
              </w:rPr>
            </w:pPr>
            <w:r w:rsidRPr="00181B91">
              <w:rPr>
                <w:rFonts w:ascii="Calibri" w:hAnsi="Calibri"/>
                <w:sz w:val="22"/>
                <w:szCs w:val="22"/>
              </w:rPr>
              <w:t>8</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TV appearances related to policy research</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Maybe, yes.  The University has a very active media and communications department</w:t>
            </w:r>
          </w:p>
        </w:tc>
      </w:tr>
      <w:tr w:rsidR="00181B91" w:rsidRPr="00C472D2" w:rsidTr="002A17E9">
        <w:tc>
          <w:tcPr>
            <w:tcW w:w="864"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9</w:t>
            </w:r>
          </w:p>
        </w:tc>
        <w:tc>
          <w:tcPr>
            <w:tcW w:w="4464" w:type="dxa"/>
          </w:tcPr>
          <w:p w:rsidR="00181B91" w:rsidRPr="00181B91" w:rsidRDefault="00181B91" w:rsidP="002A17E9">
            <w:pPr>
              <w:rPr>
                <w:rFonts w:ascii="Calibri" w:hAnsi="Calibri"/>
                <w:sz w:val="22"/>
                <w:szCs w:val="22"/>
                <w:lang w:val="en-US"/>
              </w:rPr>
            </w:pPr>
            <w:r w:rsidRPr="00181B91">
              <w:rPr>
                <w:rFonts w:ascii="Calibri" w:hAnsi="Calibri"/>
                <w:sz w:val="22"/>
                <w:szCs w:val="22"/>
                <w:lang w:val="en-US"/>
              </w:rPr>
              <w:t>Radio appearances related to policy research</w:t>
            </w:r>
          </w:p>
        </w:tc>
        <w:tc>
          <w:tcPr>
            <w:tcW w:w="2952" w:type="dxa"/>
          </w:tcPr>
          <w:p w:rsidR="00181B91" w:rsidRPr="00181B91" w:rsidRDefault="00181B91" w:rsidP="002A17E9">
            <w:pPr>
              <w:jc w:val="center"/>
              <w:rPr>
                <w:rFonts w:ascii="Calibri" w:hAnsi="Calibri"/>
                <w:sz w:val="22"/>
                <w:szCs w:val="22"/>
                <w:lang w:val="en-US"/>
              </w:rPr>
            </w:pPr>
            <w:r w:rsidRPr="00181B91">
              <w:rPr>
                <w:rFonts w:ascii="Calibri" w:hAnsi="Calibri"/>
                <w:sz w:val="22"/>
                <w:szCs w:val="22"/>
                <w:lang w:val="en-US"/>
              </w:rPr>
              <w:t>Maybe, yes.  The University has a very active media and communications department</w:t>
            </w:r>
          </w:p>
        </w:tc>
      </w:tr>
    </w:tbl>
    <w:p w:rsidR="005558C5" w:rsidRDefault="005558C5" w:rsidP="00FB6487">
      <w:pPr>
        <w:pStyle w:val="Ttulo1"/>
        <w:keepLines/>
        <w:spacing w:before="480" w:after="0" w:line="276" w:lineRule="auto"/>
        <w:rPr>
          <w:rFonts w:ascii="Cambria" w:hAnsi="Cambria" w:cs="Times New Roman"/>
          <w:color w:val="365F91"/>
          <w:kern w:val="0"/>
          <w:sz w:val="28"/>
          <w:szCs w:val="28"/>
          <w:lang w:val="en-US" w:eastAsia="en-US"/>
        </w:rPr>
      </w:pPr>
    </w:p>
    <w:p w:rsidR="005558C5" w:rsidRDefault="005558C5" w:rsidP="005558C5">
      <w:pPr>
        <w:rPr>
          <w:lang w:val="en-US" w:eastAsia="en-US"/>
        </w:rPr>
      </w:pPr>
      <w:r>
        <w:rPr>
          <w:lang w:val="en-US" w:eastAsia="en-US"/>
        </w:rPr>
        <w:br w:type="page"/>
      </w:r>
    </w:p>
    <w:p w:rsidR="00FB6487" w:rsidRPr="00FE2472" w:rsidRDefault="005558C5" w:rsidP="005558C5">
      <w:pPr>
        <w:pStyle w:val="Graciela1"/>
        <w:rPr>
          <w:kern w:val="0"/>
          <w:lang w:eastAsia="en-US"/>
        </w:rPr>
      </w:pPr>
      <w:bookmarkStart w:id="32" w:name="_Toc254912264"/>
      <w:bookmarkStart w:id="33" w:name="_Toc245908071"/>
      <w:bookmarkStart w:id="34" w:name="_Toc246146223"/>
      <w:bookmarkEnd w:id="16"/>
      <w:bookmarkEnd w:id="17"/>
      <w:r>
        <w:rPr>
          <w:kern w:val="0"/>
          <w:lang w:eastAsia="en-US"/>
        </w:rPr>
        <w:lastRenderedPageBreak/>
        <w:t>VIII</w:t>
      </w:r>
      <w:r w:rsidR="00FB6487" w:rsidRPr="00FE2472">
        <w:rPr>
          <w:kern w:val="0"/>
          <w:lang w:eastAsia="en-US"/>
        </w:rPr>
        <w:t>. Bibliography</w:t>
      </w:r>
      <w:bookmarkEnd w:id="32"/>
    </w:p>
    <w:p w:rsidR="00FB6487" w:rsidRPr="008A4203" w:rsidRDefault="00FB6487" w:rsidP="00FB6487">
      <w:pPr>
        <w:spacing w:line="360" w:lineRule="auto"/>
        <w:rPr>
          <w:rStyle w:val="Ttulo1Car"/>
          <w:rFonts w:ascii="Calibri" w:hAnsi="Calibri"/>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Bonifaz, José Luis (2009) “Plan Estratégico Sectorial de Agua Potable y Saneamiento en el Perú” Inter-American Development Bank.</w:t>
      </w:r>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 xml:space="preserve">Instituto Nacional de Estadística e Informática (2009) “Informe Técnico: PBI Departamental </w:t>
      </w:r>
      <w:smartTag w:uri="urn:schemas-microsoft-com:office:smarttags" w:element="metricconverter">
        <w:smartTagPr>
          <w:attr w:name="ProductID" w:val="2008”"/>
        </w:smartTagPr>
        <w:r w:rsidRPr="008A4203">
          <w:rPr>
            <w:rFonts w:ascii="Calibri" w:hAnsi="Calibri" w:cs="Arial"/>
            <w:sz w:val="22"/>
            <w:szCs w:val="22"/>
          </w:rPr>
          <w:t>2008”</w:t>
        </w:r>
      </w:smartTag>
      <w:r w:rsidRPr="008A4203">
        <w:rPr>
          <w:rFonts w:ascii="Calibri" w:hAnsi="Calibri" w:cs="Arial"/>
          <w:sz w:val="22"/>
          <w:szCs w:val="22"/>
        </w:rPr>
        <w:t>.</w:t>
      </w:r>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Superintendencia Nacional de Servicios de Saneamiento (2007) “Informe Técnico del Ranking de las Empresas Prestadoras a nivel nacional”.</w:t>
      </w:r>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Superintendencia Nacional de Servicios de Saneamiento (2007) “Ranking de desempeño de las Empresas Prestadoras - EPS”.</w:t>
      </w:r>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Instituto Nacional de Estadística e Informática (INEI)</w:t>
      </w:r>
    </w:p>
    <w:p w:rsidR="00FB6487" w:rsidRPr="00FB6487" w:rsidRDefault="00FB6487" w:rsidP="00FB6487">
      <w:pPr>
        <w:tabs>
          <w:tab w:val="left" w:pos="709"/>
        </w:tabs>
        <w:spacing w:line="276" w:lineRule="auto"/>
        <w:jc w:val="both"/>
        <w:rPr>
          <w:rFonts w:ascii="Calibri" w:hAnsi="Calibri" w:cs="Arial"/>
          <w:sz w:val="22"/>
          <w:szCs w:val="22"/>
        </w:rPr>
      </w:pPr>
      <w:r w:rsidRPr="00C472D2">
        <w:rPr>
          <w:rFonts w:ascii="Calibri" w:hAnsi="Calibri" w:cs="Arial"/>
          <w:sz w:val="22"/>
          <w:szCs w:val="22"/>
          <w:lang w:val="es-PE"/>
        </w:rPr>
        <w:tab/>
      </w:r>
      <w:hyperlink r:id="rId34" w:history="1">
        <w:r w:rsidRPr="00FB6487">
          <w:rPr>
            <w:rFonts w:ascii="Calibri" w:hAnsi="Calibri" w:cs="Arial"/>
            <w:sz w:val="22"/>
            <w:szCs w:val="22"/>
          </w:rPr>
          <w:t>www.inei.gob.pe/</w:t>
        </w:r>
      </w:hyperlink>
    </w:p>
    <w:p w:rsidR="00FB6487" w:rsidRPr="00FB6487"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Ministerio de Economía y Finanzas (MEF)</w:t>
      </w:r>
    </w:p>
    <w:p w:rsidR="00FB6487" w:rsidRPr="008A4203" w:rsidRDefault="00FB6487" w:rsidP="00FB6487">
      <w:pPr>
        <w:tabs>
          <w:tab w:val="left" w:pos="709"/>
        </w:tabs>
        <w:spacing w:line="276" w:lineRule="auto"/>
        <w:jc w:val="both"/>
        <w:rPr>
          <w:rFonts w:ascii="Calibri" w:hAnsi="Calibri" w:cs="Arial"/>
          <w:sz w:val="22"/>
          <w:szCs w:val="22"/>
        </w:rPr>
      </w:pPr>
      <w:r w:rsidRPr="00C472D2">
        <w:rPr>
          <w:rFonts w:ascii="Calibri" w:hAnsi="Calibri" w:cs="Arial"/>
          <w:sz w:val="22"/>
          <w:szCs w:val="22"/>
          <w:lang w:val="es-PE"/>
        </w:rPr>
        <w:tab/>
      </w:r>
      <w:hyperlink r:id="rId35" w:history="1">
        <w:r w:rsidRPr="008A4203">
          <w:rPr>
            <w:rFonts w:ascii="Calibri" w:hAnsi="Calibri" w:cs="Arial"/>
            <w:sz w:val="22"/>
            <w:szCs w:val="22"/>
          </w:rPr>
          <w:t>www.mef.gob.pe/</w:t>
        </w:r>
      </w:hyperlink>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Ministerio de Economía y Finanzas – Transparencia</w:t>
      </w:r>
    </w:p>
    <w:p w:rsidR="00FB6487" w:rsidRPr="008A4203" w:rsidRDefault="00FB6487" w:rsidP="00FB6487">
      <w:pPr>
        <w:spacing w:line="276" w:lineRule="auto"/>
        <w:ind w:left="720"/>
        <w:jc w:val="both"/>
        <w:rPr>
          <w:rFonts w:ascii="Calibri" w:hAnsi="Calibri" w:cs="Arial"/>
          <w:sz w:val="22"/>
          <w:szCs w:val="22"/>
        </w:rPr>
      </w:pPr>
      <w:r w:rsidRPr="008A4203">
        <w:rPr>
          <w:rFonts w:ascii="Calibri" w:hAnsi="Calibri" w:cs="Arial"/>
          <w:sz w:val="22"/>
          <w:szCs w:val="22"/>
        </w:rPr>
        <w:t>ofi.mef.gob.pe/transparencia/</w:t>
      </w:r>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Ministerio de Vivienda, Construcción y Saneamiento (MVCS)</w:t>
      </w:r>
    </w:p>
    <w:p w:rsidR="00FB6487" w:rsidRPr="008A4203" w:rsidRDefault="00DD7CFF" w:rsidP="00FB6487">
      <w:pPr>
        <w:spacing w:line="276" w:lineRule="auto"/>
        <w:ind w:left="720"/>
        <w:jc w:val="both"/>
        <w:rPr>
          <w:rFonts w:ascii="Calibri" w:hAnsi="Calibri" w:cs="Arial"/>
          <w:sz w:val="22"/>
          <w:szCs w:val="22"/>
        </w:rPr>
      </w:pPr>
      <w:hyperlink r:id="rId36" w:history="1">
        <w:r w:rsidR="00FB6487" w:rsidRPr="008A4203">
          <w:rPr>
            <w:rFonts w:ascii="Calibri" w:hAnsi="Calibri" w:cs="Arial"/>
            <w:sz w:val="22"/>
            <w:szCs w:val="22"/>
          </w:rPr>
          <w:t>http://www.vivienda.gob.pe/</w:t>
        </w:r>
      </w:hyperlink>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Programa Agua para Todos</w:t>
      </w:r>
    </w:p>
    <w:p w:rsidR="00FB6487" w:rsidRPr="008A4203" w:rsidRDefault="00DD7CFF" w:rsidP="00FB6487">
      <w:pPr>
        <w:spacing w:line="276" w:lineRule="auto"/>
        <w:ind w:left="720"/>
        <w:jc w:val="both"/>
        <w:rPr>
          <w:rFonts w:ascii="Calibri" w:hAnsi="Calibri" w:cs="Arial"/>
          <w:sz w:val="22"/>
          <w:szCs w:val="22"/>
        </w:rPr>
      </w:pPr>
      <w:hyperlink r:id="rId37" w:history="1">
        <w:r w:rsidR="00FB6487" w:rsidRPr="008A4203">
          <w:rPr>
            <w:rFonts w:ascii="Calibri" w:hAnsi="Calibri" w:cs="Arial"/>
            <w:sz w:val="22"/>
            <w:szCs w:val="22"/>
          </w:rPr>
          <w:t>http://www.paptonline.com/mapa/</w:t>
        </w:r>
      </w:hyperlink>
    </w:p>
    <w:p w:rsidR="00FB6487" w:rsidRPr="008A4203" w:rsidRDefault="00FB6487" w:rsidP="00FB6487">
      <w:pPr>
        <w:spacing w:line="276" w:lineRule="auto"/>
        <w:jc w:val="both"/>
        <w:rPr>
          <w:rFonts w:ascii="Calibri" w:hAnsi="Calibri" w:cs="Arial"/>
          <w:sz w:val="22"/>
          <w:szCs w:val="22"/>
        </w:rPr>
      </w:pPr>
    </w:p>
    <w:p w:rsidR="00FB6487" w:rsidRPr="008A4203" w:rsidRDefault="00FB6487" w:rsidP="00FB6487">
      <w:pPr>
        <w:numPr>
          <w:ilvl w:val="0"/>
          <w:numId w:val="14"/>
        </w:numPr>
        <w:spacing w:line="276" w:lineRule="auto"/>
        <w:jc w:val="both"/>
        <w:rPr>
          <w:rFonts w:ascii="Calibri" w:hAnsi="Calibri" w:cs="Arial"/>
          <w:sz w:val="22"/>
          <w:szCs w:val="22"/>
        </w:rPr>
      </w:pPr>
      <w:r w:rsidRPr="008A4203">
        <w:rPr>
          <w:rFonts w:ascii="Calibri" w:hAnsi="Calibri" w:cs="Arial"/>
          <w:sz w:val="22"/>
          <w:szCs w:val="22"/>
        </w:rPr>
        <w:t>Superintendencia Nacional de Servicios de Saneamiento (SUNASS)</w:t>
      </w:r>
    </w:p>
    <w:p w:rsidR="00FB6487" w:rsidRPr="008A4203" w:rsidRDefault="00DD7CFF" w:rsidP="00FB6487">
      <w:pPr>
        <w:spacing w:line="276" w:lineRule="auto"/>
        <w:ind w:left="720"/>
        <w:jc w:val="both"/>
        <w:rPr>
          <w:rFonts w:ascii="Calibri" w:hAnsi="Calibri" w:cs="Arial"/>
          <w:sz w:val="22"/>
          <w:szCs w:val="22"/>
        </w:rPr>
      </w:pPr>
      <w:hyperlink r:id="rId38" w:history="1">
        <w:r w:rsidR="00FB6487" w:rsidRPr="008A4203">
          <w:rPr>
            <w:rFonts w:ascii="Calibri" w:hAnsi="Calibri" w:cs="Arial"/>
            <w:sz w:val="22"/>
            <w:szCs w:val="22"/>
          </w:rPr>
          <w:t>http://www.sunass.gob.pe/</w:t>
        </w:r>
      </w:hyperlink>
    </w:p>
    <w:p w:rsidR="005558C5" w:rsidRPr="005558C5" w:rsidRDefault="005558C5" w:rsidP="005558C5">
      <w:pPr>
        <w:pStyle w:val="Ttulo1"/>
        <w:keepLines/>
        <w:spacing w:before="0" w:after="0" w:line="276" w:lineRule="auto"/>
        <w:rPr>
          <w:rFonts w:ascii="Cambria" w:hAnsi="Cambria" w:cs="Times New Roman"/>
          <w:color w:val="365F91"/>
          <w:kern w:val="0"/>
          <w:sz w:val="16"/>
          <w:szCs w:val="16"/>
          <w:lang w:eastAsia="en-US"/>
        </w:rPr>
      </w:pPr>
      <w:r>
        <w:rPr>
          <w:rFonts w:ascii="Cambria" w:hAnsi="Cambria" w:cs="Times New Roman"/>
          <w:color w:val="365F91"/>
          <w:kern w:val="0"/>
          <w:sz w:val="28"/>
          <w:szCs w:val="28"/>
          <w:lang w:eastAsia="en-US"/>
        </w:rPr>
        <w:br w:type="page"/>
      </w:r>
    </w:p>
    <w:p w:rsidR="00FB6487" w:rsidRDefault="005558C5" w:rsidP="005558C5">
      <w:pPr>
        <w:pStyle w:val="Graciela1"/>
        <w:rPr>
          <w:kern w:val="0"/>
          <w:lang w:eastAsia="en-US"/>
        </w:rPr>
      </w:pPr>
      <w:bookmarkStart w:id="35" w:name="_Toc254912265"/>
      <w:r>
        <w:rPr>
          <w:kern w:val="0"/>
          <w:lang w:eastAsia="en-US"/>
        </w:rPr>
        <w:lastRenderedPageBreak/>
        <w:t>IX</w:t>
      </w:r>
      <w:r w:rsidR="00965157" w:rsidRPr="008A4203">
        <w:rPr>
          <w:kern w:val="0"/>
          <w:lang w:eastAsia="en-US"/>
        </w:rPr>
        <w:t xml:space="preserve">. </w:t>
      </w:r>
      <w:r w:rsidR="00FB6487">
        <w:rPr>
          <w:kern w:val="0"/>
          <w:lang w:eastAsia="en-US"/>
        </w:rPr>
        <w:t>A</w:t>
      </w:r>
      <w:r w:rsidR="001A7712">
        <w:rPr>
          <w:kern w:val="0"/>
          <w:lang w:eastAsia="en-US"/>
        </w:rPr>
        <w:t>ppendixes</w:t>
      </w:r>
      <w:bookmarkEnd w:id="35"/>
    </w:p>
    <w:p w:rsidR="00FB6487" w:rsidRDefault="00FB6487" w:rsidP="00FB6487">
      <w:pPr>
        <w:rPr>
          <w:lang w:val="en-US" w:eastAsia="en-US"/>
        </w:rPr>
      </w:pPr>
    </w:p>
    <w:p w:rsidR="009A0AE0" w:rsidRPr="00F23E97" w:rsidRDefault="00FB6487" w:rsidP="00F23E97">
      <w:pPr>
        <w:pStyle w:val="Ttulo2"/>
        <w:numPr>
          <w:ilvl w:val="0"/>
          <w:numId w:val="21"/>
        </w:numPr>
        <w:spacing w:before="0"/>
        <w:rPr>
          <w:rStyle w:val="nfasisintenso"/>
        </w:rPr>
      </w:pPr>
      <w:bookmarkStart w:id="36" w:name="_Toc254912266"/>
      <w:r w:rsidRPr="00F23E97">
        <w:rPr>
          <w:rStyle w:val="nfasisintenso"/>
        </w:rPr>
        <w:t>A</w:t>
      </w:r>
      <w:r w:rsidR="001A7712" w:rsidRPr="00F23E97">
        <w:rPr>
          <w:rStyle w:val="nfasisintenso"/>
        </w:rPr>
        <w:t>ppendix</w:t>
      </w:r>
      <w:r w:rsidRPr="00F23E97">
        <w:rPr>
          <w:rStyle w:val="nfasisintenso"/>
        </w:rPr>
        <w:t xml:space="preserve"> 1: </w:t>
      </w:r>
      <w:r w:rsidR="009A0AE0" w:rsidRPr="00F23E97">
        <w:rPr>
          <w:rStyle w:val="nfasisintenso"/>
        </w:rPr>
        <w:t>PRONASA</w:t>
      </w:r>
      <w:bookmarkEnd w:id="33"/>
      <w:bookmarkEnd w:id="34"/>
      <w:r w:rsidR="009A0AE0" w:rsidRPr="00F23E97">
        <w:rPr>
          <w:rStyle w:val="nfasisintenso"/>
        </w:rPr>
        <w:t>R</w:t>
      </w:r>
      <w:bookmarkEnd w:id="36"/>
    </w:p>
    <w:p w:rsidR="009A0AE0" w:rsidRPr="00567952" w:rsidRDefault="009A0AE0" w:rsidP="0045515D">
      <w:pPr>
        <w:spacing w:line="360" w:lineRule="auto"/>
        <w:ind w:left="360"/>
        <w:rPr>
          <w:rFonts w:ascii="Arial" w:hAnsi="Arial" w:cs="Arial"/>
          <w:sz w:val="28"/>
          <w:szCs w:val="28"/>
          <w:lang w:val="en-GB"/>
        </w:rPr>
      </w:pPr>
    </w:p>
    <w:p w:rsidR="00AB44DF" w:rsidRPr="008A4203" w:rsidRDefault="00AB44DF" w:rsidP="008A4203">
      <w:pPr>
        <w:spacing w:line="276" w:lineRule="auto"/>
        <w:jc w:val="both"/>
        <w:rPr>
          <w:rFonts w:ascii="Calibri" w:hAnsi="Calibri" w:cs="Arial"/>
          <w:sz w:val="22"/>
          <w:szCs w:val="22"/>
          <w:lang w:val="en-US"/>
        </w:rPr>
      </w:pPr>
      <w:r w:rsidRPr="008A4203">
        <w:rPr>
          <w:rFonts w:ascii="Calibri" w:hAnsi="Calibri" w:cs="Arial"/>
          <w:sz w:val="22"/>
          <w:szCs w:val="22"/>
          <w:lang w:val="en-US"/>
        </w:rPr>
        <w:t>As it was shown in the previous discussion of section two, the rural sector is largely at risk of diseases and has poor living conditions due to the fact that it does not have much water and sewerage infrastructure.</w:t>
      </w:r>
      <w:r w:rsidR="00BF59EB">
        <w:rPr>
          <w:rFonts w:ascii="Calibri" w:hAnsi="Calibri" w:cs="Arial"/>
          <w:sz w:val="22"/>
          <w:szCs w:val="22"/>
          <w:lang w:val="en-US"/>
        </w:rPr>
        <w:t xml:space="preserve"> </w:t>
      </w:r>
      <w:r w:rsidRPr="008A4203">
        <w:rPr>
          <w:rFonts w:ascii="Calibri" w:hAnsi="Calibri" w:cs="Arial"/>
          <w:sz w:val="22"/>
          <w:szCs w:val="22"/>
          <w:lang w:val="en-US"/>
        </w:rPr>
        <w:t xml:space="preserve">Therefore, an important initiative from the state comes in the form of a program names Programa Nacional de Agua y Saneamiento Rural (PRONASAR). It focuses mainly in rural areas and small cities that do not have the infrastructure needed to provide these services to the communities. </w:t>
      </w:r>
    </w:p>
    <w:p w:rsidR="00AB44DF" w:rsidRPr="008A4203" w:rsidRDefault="00AB44DF" w:rsidP="008A4203">
      <w:pPr>
        <w:spacing w:line="276" w:lineRule="auto"/>
        <w:ind w:firstLine="360"/>
        <w:jc w:val="both"/>
        <w:rPr>
          <w:rFonts w:ascii="Calibri" w:hAnsi="Calibri" w:cs="Arial"/>
          <w:sz w:val="22"/>
          <w:szCs w:val="22"/>
          <w:lang w:val="en-US"/>
        </w:rPr>
      </w:pPr>
    </w:p>
    <w:p w:rsidR="00AB44DF" w:rsidRPr="00543561" w:rsidRDefault="00AB44DF" w:rsidP="008A4203">
      <w:pPr>
        <w:spacing w:line="276" w:lineRule="auto"/>
        <w:jc w:val="both"/>
        <w:rPr>
          <w:rFonts w:ascii="Calibri" w:hAnsi="Calibri" w:cs="Arial"/>
          <w:sz w:val="22"/>
          <w:szCs w:val="22"/>
          <w:lang w:val="en-US"/>
        </w:rPr>
      </w:pPr>
      <w:r w:rsidRPr="00543561">
        <w:rPr>
          <w:rFonts w:ascii="Calibri" w:hAnsi="Calibri" w:cs="Arial"/>
          <w:sz w:val="22"/>
          <w:szCs w:val="22"/>
          <w:lang w:val="en-US"/>
        </w:rPr>
        <w:t>Its main objective is to reduce diseases through the implementation and better quality of water and sewerage services. In order to do so, it has to capacitate the municipalities so they can manage the operations of the water investments. Also, it destines resources to the construction and modernization of the provision of water. It links the communities, regional government, private sector, state officials and technical personnel in order to assess the situations and come up with solutions that are sustainable.</w:t>
      </w:r>
    </w:p>
    <w:p w:rsidR="00AB44DF" w:rsidRPr="00543561" w:rsidRDefault="00AB44DF" w:rsidP="008A4203">
      <w:pPr>
        <w:spacing w:line="276" w:lineRule="auto"/>
        <w:ind w:firstLine="360"/>
        <w:jc w:val="both"/>
        <w:rPr>
          <w:rFonts w:ascii="Calibri" w:hAnsi="Calibri" w:cs="Arial"/>
          <w:sz w:val="22"/>
          <w:szCs w:val="22"/>
          <w:lang w:val="en-US"/>
        </w:rPr>
      </w:pPr>
    </w:p>
    <w:p w:rsidR="003C4CD8" w:rsidRPr="008A4203" w:rsidRDefault="00AB44DF" w:rsidP="008A4203">
      <w:pPr>
        <w:spacing w:line="276" w:lineRule="auto"/>
        <w:jc w:val="both"/>
        <w:rPr>
          <w:rFonts w:ascii="Calibri" w:hAnsi="Calibri" w:cs="Arial"/>
          <w:sz w:val="22"/>
          <w:szCs w:val="22"/>
          <w:lang w:val="en-US"/>
        </w:rPr>
      </w:pPr>
      <w:r w:rsidRPr="00543561">
        <w:rPr>
          <w:rFonts w:ascii="Calibri" w:hAnsi="Calibri" w:cs="Arial"/>
          <w:sz w:val="22"/>
          <w:szCs w:val="22"/>
          <w:lang w:val="en-US"/>
        </w:rPr>
        <w:t>Their guidelines to select where to begin projects include the area’s poverty index, the incidence of diarrheic diseases and the coverage of water and sewerage systems.</w:t>
      </w:r>
      <w:r w:rsidR="00BF59EB" w:rsidRPr="00543561">
        <w:rPr>
          <w:rFonts w:ascii="Calibri" w:hAnsi="Calibri" w:cs="Arial"/>
          <w:sz w:val="22"/>
          <w:szCs w:val="22"/>
          <w:lang w:val="en-US"/>
        </w:rPr>
        <w:t xml:space="preserve"> </w:t>
      </w:r>
      <w:r w:rsidR="00E97C5F" w:rsidRPr="00543561">
        <w:rPr>
          <w:rFonts w:ascii="Calibri" w:hAnsi="Calibri" w:cs="Arial"/>
          <w:sz w:val="22"/>
          <w:szCs w:val="22"/>
          <w:lang w:val="en-US"/>
        </w:rPr>
        <w:t>The program has four defined stages. The fist one is water supply and sanitation in rural communities. The</w:t>
      </w:r>
      <w:r w:rsidR="00E97C5F" w:rsidRPr="008A4203">
        <w:rPr>
          <w:rFonts w:ascii="Calibri" w:hAnsi="Calibri" w:cs="Arial"/>
          <w:sz w:val="22"/>
          <w:szCs w:val="22"/>
          <w:lang w:val="en-US"/>
        </w:rPr>
        <w:t xml:space="preserve"> second has the same objectives bur for small cities. The third is the construction of capacities for local officials. Finally, the last one is administration of the projects.</w:t>
      </w:r>
      <w:r w:rsidR="00D91F5D" w:rsidRPr="008A4203">
        <w:rPr>
          <w:rFonts w:ascii="Calibri" w:hAnsi="Calibri" w:cs="Arial"/>
          <w:sz w:val="22"/>
          <w:szCs w:val="22"/>
          <w:lang w:val="en-US"/>
        </w:rPr>
        <w:t xml:space="preserve"> </w:t>
      </w:r>
    </w:p>
    <w:p w:rsidR="003C4CD8" w:rsidRPr="008A4203" w:rsidRDefault="003C4CD8" w:rsidP="008A4203">
      <w:pPr>
        <w:spacing w:line="276" w:lineRule="auto"/>
        <w:ind w:firstLine="360"/>
        <w:jc w:val="both"/>
        <w:rPr>
          <w:rFonts w:ascii="Calibri" w:hAnsi="Calibri" w:cs="Arial"/>
          <w:sz w:val="22"/>
          <w:szCs w:val="22"/>
          <w:lang w:val="en-US"/>
        </w:rPr>
      </w:pPr>
    </w:p>
    <w:p w:rsidR="003C4CD8" w:rsidRPr="008A4203" w:rsidRDefault="003C4CD8" w:rsidP="008A4203">
      <w:pPr>
        <w:spacing w:line="276" w:lineRule="auto"/>
        <w:jc w:val="both"/>
        <w:rPr>
          <w:rFonts w:ascii="Calibri" w:hAnsi="Calibri" w:cs="Arial"/>
          <w:sz w:val="22"/>
          <w:szCs w:val="22"/>
          <w:lang w:val="en-US"/>
        </w:rPr>
      </w:pPr>
      <w:r w:rsidRPr="008A4203">
        <w:rPr>
          <w:rFonts w:ascii="Calibri" w:hAnsi="Calibri" w:cs="Arial"/>
          <w:sz w:val="22"/>
          <w:szCs w:val="22"/>
          <w:lang w:val="en-US"/>
        </w:rPr>
        <w:t xml:space="preserve">Table </w:t>
      </w:r>
      <w:r w:rsidR="00345F4B">
        <w:rPr>
          <w:rFonts w:ascii="Calibri" w:hAnsi="Calibri" w:cs="Arial"/>
          <w:sz w:val="22"/>
          <w:szCs w:val="22"/>
          <w:lang w:val="en-US"/>
        </w:rPr>
        <w:t>12</w:t>
      </w:r>
      <w:r w:rsidRPr="008A4203">
        <w:rPr>
          <w:rFonts w:ascii="Calibri" w:hAnsi="Calibri" w:cs="Arial"/>
          <w:sz w:val="22"/>
          <w:szCs w:val="22"/>
          <w:lang w:val="en-US"/>
        </w:rPr>
        <w:t xml:space="preserve"> shows the investments made by the program in each of its four phases. The total budged destined is $80 million, of which about half has already been spend in Arequipa, Ayacucho, Huancavelica, Huánuco, Lima, J</w:t>
      </w:r>
      <w:r w:rsidR="004B2AD0" w:rsidRPr="008A4203">
        <w:rPr>
          <w:rFonts w:ascii="Calibri" w:hAnsi="Calibri" w:cs="Arial"/>
          <w:sz w:val="22"/>
          <w:szCs w:val="22"/>
          <w:lang w:val="en-US"/>
        </w:rPr>
        <w:t>unín, Pasco and Piura.</w:t>
      </w:r>
    </w:p>
    <w:p w:rsidR="00BF59EB" w:rsidRDefault="00BF59EB" w:rsidP="003C4CD8">
      <w:pPr>
        <w:pStyle w:val="Epgrafe"/>
        <w:jc w:val="center"/>
        <w:rPr>
          <w:rFonts w:ascii="Calibri" w:eastAsia="Calibri" w:hAnsi="Calibri"/>
          <w:color w:val="4F81BD"/>
          <w:sz w:val="22"/>
          <w:szCs w:val="22"/>
          <w:lang w:val="en-US" w:eastAsia="en-US"/>
        </w:rPr>
      </w:pPr>
    </w:p>
    <w:p w:rsidR="003C4CD8" w:rsidRPr="00FB6487" w:rsidRDefault="005C7259" w:rsidP="003C4CD8">
      <w:pPr>
        <w:pStyle w:val="Epgrafe"/>
        <w:jc w:val="center"/>
        <w:rPr>
          <w:rFonts w:ascii="Arial" w:hAnsi="Arial" w:cs="Arial"/>
          <w:b w:val="0"/>
          <w:bCs w:val="0"/>
          <w:sz w:val="22"/>
          <w:szCs w:val="22"/>
          <w:lang w:val="en-US"/>
        </w:rPr>
      </w:pPr>
      <w:r w:rsidRPr="00FB6487">
        <w:rPr>
          <w:rFonts w:ascii="Calibri" w:eastAsia="Calibri" w:hAnsi="Calibri"/>
          <w:color w:val="4F81BD"/>
          <w:sz w:val="22"/>
          <w:szCs w:val="22"/>
          <w:lang w:val="en-US" w:eastAsia="en-US"/>
        </w:rPr>
        <w:t>Table</w:t>
      </w:r>
      <w:r w:rsidR="00345F4B">
        <w:rPr>
          <w:rFonts w:ascii="Calibri" w:eastAsia="Calibri" w:hAnsi="Calibri"/>
          <w:color w:val="4F81BD"/>
          <w:sz w:val="22"/>
          <w:szCs w:val="22"/>
          <w:lang w:val="en-US" w:eastAsia="en-US"/>
        </w:rPr>
        <w:t xml:space="preserve"> 12</w:t>
      </w:r>
      <w:r w:rsidR="008A4203" w:rsidRPr="00FB6487">
        <w:rPr>
          <w:rFonts w:ascii="Calibri" w:eastAsia="Calibri" w:hAnsi="Calibri"/>
          <w:color w:val="4F81BD"/>
          <w:sz w:val="22"/>
          <w:szCs w:val="22"/>
          <w:lang w:val="en-US" w:eastAsia="en-US"/>
        </w:rPr>
        <w:t xml:space="preserve">: </w:t>
      </w:r>
      <w:r w:rsidR="003C4CD8" w:rsidRPr="00FB6487">
        <w:rPr>
          <w:rFonts w:ascii="Calibri" w:eastAsia="Calibri" w:hAnsi="Calibri"/>
          <w:color w:val="4F81BD"/>
          <w:sz w:val="22"/>
          <w:szCs w:val="22"/>
          <w:lang w:val="en-US" w:eastAsia="en-US"/>
        </w:rPr>
        <w:t>Investments Made by PRONASAR</w:t>
      </w:r>
    </w:p>
    <w:p w:rsidR="00AB44DF" w:rsidRPr="005C7259" w:rsidRDefault="00786AEB" w:rsidP="00D91F5D">
      <w:pPr>
        <w:spacing w:line="360" w:lineRule="auto"/>
        <w:ind w:firstLine="360"/>
        <w:jc w:val="center"/>
        <w:rPr>
          <w:rFonts w:ascii="Arial" w:hAnsi="Arial" w:cs="Arial"/>
          <w:sz w:val="28"/>
          <w:szCs w:val="28"/>
          <w:lang w:val="en-US"/>
        </w:rPr>
      </w:pPr>
      <w:r>
        <w:rPr>
          <w:noProof/>
          <w:lang w:val="es-PE" w:eastAsia="es-PE"/>
        </w:rPr>
        <w:drawing>
          <wp:inline distT="0" distB="0" distL="0" distR="0">
            <wp:extent cx="2656840" cy="136271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a:srcRect/>
                    <a:stretch>
                      <a:fillRect/>
                    </a:stretch>
                  </pic:blipFill>
                  <pic:spPr bwMode="auto">
                    <a:xfrm>
                      <a:off x="0" y="0"/>
                      <a:ext cx="2656840" cy="1362710"/>
                    </a:xfrm>
                    <a:prstGeom prst="rect">
                      <a:avLst/>
                    </a:prstGeom>
                    <a:noFill/>
                    <a:ln w="9525">
                      <a:noFill/>
                      <a:miter lim="800000"/>
                      <a:headEnd/>
                      <a:tailEnd/>
                    </a:ln>
                  </pic:spPr>
                </pic:pic>
              </a:graphicData>
            </a:graphic>
          </wp:inline>
        </w:drawing>
      </w:r>
    </w:p>
    <w:p w:rsidR="00B95A4D" w:rsidRPr="008A4203" w:rsidRDefault="00D91F5D" w:rsidP="00D91F5D">
      <w:pPr>
        <w:spacing w:line="360" w:lineRule="auto"/>
        <w:ind w:left="708" w:firstLine="708"/>
        <w:rPr>
          <w:rFonts w:ascii="Arial" w:hAnsi="Arial" w:cs="Arial"/>
          <w:sz w:val="16"/>
          <w:szCs w:val="16"/>
          <w:lang w:val="en-US"/>
        </w:rPr>
      </w:pPr>
      <w:r w:rsidRPr="008A4203">
        <w:rPr>
          <w:rFonts w:ascii="Arial" w:hAnsi="Arial" w:cs="Arial"/>
          <w:sz w:val="16"/>
          <w:szCs w:val="16"/>
          <w:lang w:val="en-GB"/>
        </w:rPr>
        <w:t xml:space="preserve">       Source: MVCS</w:t>
      </w:r>
    </w:p>
    <w:p w:rsidR="00D91F5D" w:rsidRPr="008A4203" w:rsidRDefault="00D91F5D" w:rsidP="008A4203">
      <w:pPr>
        <w:spacing w:line="276" w:lineRule="auto"/>
        <w:rPr>
          <w:rFonts w:ascii="Calibri" w:hAnsi="Calibri" w:cs="Arial"/>
          <w:sz w:val="22"/>
          <w:szCs w:val="22"/>
          <w:lang w:val="en-US"/>
        </w:rPr>
      </w:pPr>
    </w:p>
    <w:p w:rsidR="00B95A4D" w:rsidRPr="008A4203" w:rsidRDefault="004B2AD0" w:rsidP="008A4203">
      <w:pPr>
        <w:spacing w:line="276" w:lineRule="auto"/>
        <w:jc w:val="both"/>
        <w:rPr>
          <w:rFonts w:ascii="Calibri" w:hAnsi="Calibri" w:cs="Arial"/>
          <w:sz w:val="22"/>
          <w:szCs w:val="22"/>
          <w:lang w:val="en-US"/>
        </w:rPr>
      </w:pPr>
      <w:r w:rsidRPr="008A4203">
        <w:rPr>
          <w:rFonts w:ascii="Calibri" w:hAnsi="Calibri" w:cs="Arial"/>
          <w:sz w:val="22"/>
          <w:szCs w:val="22"/>
          <w:lang w:val="en-US"/>
        </w:rPr>
        <w:t xml:space="preserve">The total population benefited by the program is estimated in 275 thousand and 60% of them are located in Piura, Junín and Ayacucho. </w:t>
      </w:r>
    </w:p>
    <w:p w:rsidR="00E97C5F" w:rsidRPr="008A4203" w:rsidRDefault="00E97C5F" w:rsidP="008A4203">
      <w:pPr>
        <w:spacing w:line="276" w:lineRule="auto"/>
        <w:rPr>
          <w:rFonts w:ascii="Calibri" w:hAnsi="Calibri" w:cs="Arial"/>
          <w:sz w:val="22"/>
          <w:szCs w:val="22"/>
          <w:lang w:val="en-US"/>
        </w:rPr>
      </w:pPr>
    </w:p>
    <w:p w:rsidR="00FB6487" w:rsidRPr="00F23E97" w:rsidRDefault="001A7712" w:rsidP="00F23E97">
      <w:pPr>
        <w:pStyle w:val="Ttulo2"/>
        <w:numPr>
          <w:ilvl w:val="0"/>
          <w:numId w:val="21"/>
        </w:numPr>
        <w:spacing w:before="0"/>
        <w:rPr>
          <w:rStyle w:val="nfasisintenso"/>
        </w:rPr>
      </w:pPr>
      <w:r w:rsidRPr="00C472D2">
        <w:rPr>
          <w:rStyle w:val="nfasisintenso"/>
          <w:lang w:val="en-US"/>
        </w:rPr>
        <w:lastRenderedPageBreak/>
        <w:t xml:space="preserve"> </w:t>
      </w:r>
      <w:bookmarkStart w:id="37" w:name="_Toc254912267"/>
      <w:r w:rsidRPr="00F23E97">
        <w:rPr>
          <w:rStyle w:val="nfasisintenso"/>
        </w:rPr>
        <w:t>Appendix</w:t>
      </w:r>
      <w:r w:rsidR="00FB6487" w:rsidRPr="00F23E97">
        <w:rPr>
          <w:rStyle w:val="nfasisintenso"/>
        </w:rPr>
        <w:t xml:space="preserve"> 2: Names of the 50 EPS</w:t>
      </w:r>
      <w:bookmarkEnd w:id="37"/>
    </w:p>
    <w:p w:rsidR="00FB6487" w:rsidRPr="00F66AA5" w:rsidRDefault="00FB6487" w:rsidP="00FB6487">
      <w:pPr>
        <w:rPr>
          <w:lang w:val="en-GB"/>
        </w:rPr>
      </w:pPr>
    </w:p>
    <w:p w:rsidR="00FB6487" w:rsidRPr="00F66AA5" w:rsidRDefault="00786AEB" w:rsidP="00FB6487">
      <w:pPr>
        <w:jc w:val="center"/>
        <w:rPr>
          <w:lang w:val="en-GB"/>
        </w:rPr>
      </w:pPr>
      <w:r>
        <w:rPr>
          <w:noProof/>
          <w:lang w:val="es-PE" w:eastAsia="es-PE"/>
        </w:rPr>
        <w:drawing>
          <wp:inline distT="0" distB="0" distL="0" distR="0">
            <wp:extent cx="4382135" cy="420941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a:srcRect/>
                    <a:stretch>
                      <a:fillRect/>
                    </a:stretch>
                  </pic:blipFill>
                  <pic:spPr bwMode="auto">
                    <a:xfrm>
                      <a:off x="0" y="0"/>
                      <a:ext cx="4382135" cy="4209415"/>
                    </a:xfrm>
                    <a:prstGeom prst="rect">
                      <a:avLst/>
                    </a:prstGeom>
                    <a:noFill/>
                    <a:ln w="9525">
                      <a:noFill/>
                      <a:miter lim="800000"/>
                      <a:headEnd/>
                      <a:tailEnd/>
                    </a:ln>
                  </pic:spPr>
                </pic:pic>
              </a:graphicData>
            </a:graphic>
          </wp:inline>
        </w:drawing>
      </w:r>
    </w:p>
    <w:p w:rsidR="00FB6487" w:rsidRPr="00F66AA5" w:rsidRDefault="00FB6487" w:rsidP="00FB6487">
      <w:pPr>
        <w:spacing w:line="360" w:lineRule="auto"/>
        <w:rPr>
          <w:rFonts w:ascii="Arial" w:hAnsi="Arial" w:cs="Arial"/>
          <w:lang w:val="en-GB"/>
        </w:rPr>
      </w:pPr>
    </w:p>
    <w:p w:rsidR="00FB6487" w:rsidRPr="00F66AA5" w:rsidRDefault="00FB6487" w:rsidP="00FB6487">
      <w:pPr>
        <w:spacing w:line="360" w:lineRule="auto"/>
        <w:rPr>
          <w:rFonts w:ascii="Arial" w:hAnsi="Arial" w:cs="Arial"/>
          <w:lang w:val="en-GB"/>
        </w:rPr>
      </w:pPr>
    </w:p>
    <w:p w:rsidR="00FB6487" w:rsidRPr="00F66AA5" w:rsidRDefault="00FB6487" w:rsidP="00FB6487">
      <w:pPr>
        <w:spacing w:line="360" w:lineRule="auto"/>
        <w:rPr>
          <w:rFonts w:ascii="Arial" w:hAnsi="Arial" w:cs="Arial"/>
          <w:lang w:val="en-GB"/>
        </w:rPr>
      </w:pPr>
    </w:p>
    <w:p w:rsidR="00FB6487" w:rsidRPr="00F66AA5" w:rsidRDefault="00FB6487" w:rsidP="00FB6487">
      <w:pPr>
        <w:spacing w:line="360" w:lineRule="auto"/>
        <w:rPr>
          <w:rFonts w:ascii="Arial" w:hAnsi="Arial" w:cs="Arial"/>
          <w:lang w:val="en-GB"/>
        </w:rPr>
      </w:pPr>
    </w:p>
    <w:p w:rsidR="00FB6487" w:rsidRPr="00F66AA5" w:rsidRDefault="00FB6487" w:rsidP="00FB6487">
      <w:pPr>
        <w:spacing w:line="360" w:lineRule="auto"/>
        <w:rPr>
          <w:rFonts w:ascii="Arial" w:hAnsi="Arial" w:cs="Arial"/>
          <w:lang w:val="en-GB"/>
        </w:rPr>
      </w:pPr>
    </w:p>
    <w:p w:rsidR="00FB6487" w:rsidRPr="00746FB3" w:rsidRDefault="00FB6487" w:rsidP="00F23E97">
      <w:pPr>
        <w:pStyle w:val="Ttulo2"/>
        <w:numPr>
          <w:ilvl w:val="0"/>
          <w:numId w:val="21"/>
        </w:numPr>
        <w:spacing w:before="0"/>
        <w:rPr>
          <w:rStyle w:val="nfasisintenso"/>
          <w:lang w:val="en-US"/>
        </w:rPr>
      </w:pPr>
      <w:r w:rsidRPr="00746FB3">
        <w:rPr>
          <w:rStyle w:val="nfasisintenso"/>
          <w:lang w:val="en-US"/>
        </w:rPr>
        <w:lastRenderedPageBreak/>
        <w:t xml:space="preserve"> </w:t>
      </w:r>
      <w:bookmarkStart w:id="38" w:name="_Toc254912268"/>
      <w:r w:rsidRPr="00746FB3">
        <w:rPr>
          <w:rStyle w:val="nfasisintenso"/>
          <w:lang w:val="en-US"/>
        </w:rPr>
        <w:t>A</w:t>
      </w:r>
      <w:r w:rsidR="001A7712" w:rsidRPr="00746FB3">
        <w:rPr>
          <w:rStyle w:val="nfasisintenso"/>
          <w:lang w:val="en-US"/>
        </w:rPr>
        <w:t>ppendix</w:t>
      </w:r>
      <w:r w:rsidRPr="00746FB3">
        <w:rPr>
          <w:rStyle w:val="nfasisintenso"/>
          <w:lang w:val="en-US"/>
        </w:rPr>
        <w:t xml:space="preserve"> 3: Departments by GDP per Capita (in Nuevos Soles)</w:t>
      </w:r>
      <w:bookmarkEnd w:id="38"/>
    </w:p>
    <w:p w:rsidR="00D91F5D" w:rsidRPr="00914497" w:rsidRDefault="00786AEB" w:rsidP="00FB6487">
      <w:pPr>
        <w:pStyle w:val="Ttulo1"/>
        <w:keepLines/>
        <w:spacing w:before="480" w:after="0" w:line="276" w:lineRule="auto"/>
        <w:jc w:val="center"/>
        <w:rPr>
          <w:sz w:val="28"/>
          <w:szCs w:val="28"/>
        </w:rPr>
      </w:pPr>
      <w:r>
        <w:rPr>
          <w:noProof/>
          <w:lang w:val="es-PE" w:eastAsia="es-PE"/>
        </w:rPr>
        <w:drawing>
          <wp:inline distT="0" distB="0" distL="0" distR="0">
            <wp:extent cx="3286760" cy="4020185"/>
            <wp:effectExtent l="1905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srcRect/>
                    <a:stretch>
                      <a:fillRect/>
                    </a:stretch>
                  </pic:blipFill>
                  <pic:spPr bwMode="auto">
                    <a:xfrm>
                      <a:off x="0" y="0"/>
                      <a:ext cx="3286760" cy="4020185"/>
                    </a:xfrm>
                    <a:prstGeom prst="rect">
                      <a:avLst/>
                    </a:prstGeom>
                    <a:noFill/>
                    <a:ln w="9525">
                      <a:noFill/>
                      <a:miter lim="800000"/>
                      <a:headEnd/>
                      <a:tailEnd/>
                    </a:ln>
                  </pic:spPr>
                </pic:pic>
              </a:graphicData>
            </a:graphic>
          </wp:inline>
        </w:drawing>
      </w:r>
    </w:p>
    <w:sectPr w:rsidR="00D91F5D" w:rsidRPr="00914497" w:rsidSect="00F7174B">
      <w:footerReference w:type="default" r:id="rId42"/>
      <w:pgSz w:w="11907" w:h="16840" w:code="9"/>
      <w:pgMar w:top="1701" w:right="1418"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0F2" w:rsidRDefault="006A30F2" w:rsidP="00992918">
      <w:r>
        <w:separator/>
      </w:r>
    </w:p>
  </w:endnote>
  <w:endnote w:type="continuationSeparator" w:id="1">
    <w:p w:rsidR="006A30F2" w:rsidRDefault="006A30F2" w:rsidP="00992918">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C9" w:rsidRDefault="00B179C9">
    <w:pPr>
      <w:pStyle w:val="Piedepgina"/>
      <w:jc w:val="center"/>
    </w:pPr>
    <w:fldSimple w:instr=" PAGE   \* MERGEFORMAT ">
      <w:r w:rsidR="005E5A28">
        <w:rPr>
          <w:noProof/>
        </w:rPr>
        <w:t>26</w:t>
      </w:r>
    </w:fldSimple>
  </w:p>
  <w:p w:rsidR="00B179C9" w:rsidRDefault="00B179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0F2" w:rsidRDefault="006A30F2" w:rsidP="00992918">
      <w:r>
        <w:separator/>
      </w:r>
    </w:p>
  </w:footnote>
  <w:footnote w:type="continuationSeparator" w:id="1">
    <w:p w:rsidR="006A30F2" w:rsidRDefault="006A30F2" w:rsidP="00992918">
      <w:r>
        <w:continuationSeparator/>
      </w:r>
    </w:p>
  </w:footnote>
  <w:footnote w:id="2">
    <w:p w:rsidR="00B179C9" w:rsidRDefault="00B179C9" w:rsidP="00AE47AE">
      <w:pPr>
        <w:pStyle w:val="Textonotapie"/>
      </w:pPr>
      <w:r>
        <w:rPr>
          <w:rStyle w:val="Refdenotaalpie"/>
        </w:rPr>
        <w:footnoteRef/>
      </w:r>
      <w:r>
        <w:t xml:space="preserve"> </w:t>
      </w:r>
      <w:hyperlink r:id="rId1" w:history="1">
        <w:r>
          <w:rPr>
            <w:rStyle w:val="Hipervnculo"/>
          </w:rPr>
          <w:t>http://www.inei.gob.pe/</w:t>
        </w:r>
      </w:hyperlink>
    </w:p>
  </w:footnote>
  <w:footnote w:id="3">
    <w:p w:rsidR="00B179C9" w:rsidRDefault="00B179C9" w:rsidP="00AE47AE">
      <w:pPr>
        <w:pStyle w:val="Textonotapie"/>
      </w:pPr>
      <w:r>
        <w:rPr>
          <w:rStyle w:val="Refdenotaalpie"/>
        </w:rPr>
        <w:footnoteRef/>
      </w:r>
      <w:r>
        <w:t xml:space="preserve"> INEI (Agosto 2009) “Informe Técnico: </w:t>
      </w:r>
      <w:r w:rsidRPr="00037650">
        <w:rPr>
          <w:bCs/>
        </w:rPr>
        <w:t xml:space="preserve">PBI Departamental </w:t>
      </w:r>
      <w:smartTag w:uri="urn:schemas-microsoft-com:office:smarttags" w:element="metricconverter">
        <w:smartTagPr>
          <w:attr w:name="ProductID" w:val="2008”"/>
        </w:smartTagPr>
        <w:r w:rsidRPr="00037650">
          <w:rPr>
            <w:bCs/>
          </w:rPr>
          <w:t>2008</w:t>
        </w:r>
        <w:r>
          <w:rPr>
            <w:bCs/>
          </w:rPr>
          <w:t>”</w:t>
        </w:r>
      </w:smartTag>
    </w:p>
  </w:footnote>
  <w:footnote w:id="4">
    <w:p w:rsidR="00B179C9" w:rsidRDefault="00B179C9" w:rsidP="0035584F">
      <w:pPr>
        <w:pStyle w:val="Textonotapie"/>
      </w:pPr>
      <w:r>
        <w:rPr>
          <w:rStyle w:val="Refdenotaalpie"/>
        </w:rPr>
        <w:footnoteRef/>
      </w:r>
      <w:r>
        <w:t xml:space="preserve"> </w:t>
      </w:r>
      <w:hyperlink r:id="rId2" w:history="1">
        <w:r>
          <w:rPr>
            <w:rStyle w:val="Hipervnculo"/>
          </w:rPr>
          <w:t>http://www.sunass.gob.pe/consulta_tarifas.php</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2EC"/>
    <w:multiLevelType w:val="hybridMultilevel"/>
    <w:tmpl w:val="BE486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950E49"/>
    <w:multiLevelType w:val="hybridMultilevel"/>
    <w:tmpl w:val="5C802E26"/>
    <w:lvl w:ilvl="0" w:tplc="E510454C">
      <w:start w:val="1"/>
      <w:numFmt w:val="upperRoman"/>
      <w:lvlText w:val="%1."/>
      <w:lvlJc w:val="right"/>
      <w:pPr>
        <w:tabs>
          <w:tab w:val="num" w:pos="720"/>
        </w:tabs>
        <w:ind w:left="720" w:hanging="360"/>
      </w:pPr>
    </w:lvl>
    <w:lvl w:ilvl="1" w:tplc="C0E8372C" w:tentative="1">
      <w:start w:val="1"/>
      <w:numFmt w:val="upperRoman"/>
      <w:lvlText w:val="%2."/>
      <w:lvlJc w:val="right"/>
      <w:pPr>
        <w:tabs>
          <w:tab w:val="num" w:pos="1440"/>
        </w:tabs>
        <w:ind w:left="1440" w:hanging="360"/>
      </w:pPr>
    </w:lvl>
    <w:lvl w:ilvl="2" w:tplc="02DAA422" w:tentative="1">
      <w:start w:val="1"/>
      <w:numFmt w:val="upperRoman"/>
      <w:lvlText w:val="%3."/>
      <w:lvlJc w:val="right"/>
      <w:pPr>
        <w:tabs>
          <w:tab w:val="num" w:pos="2160"/>
        </w:tabs>
        <w:ind w:left="2160" w:hanging="360"/>
      </w:pPr>
    </w:lvl>
    <w:lvl w:ilvl="3" w:tplc="14AEA10C" w:tentative="1">
      <w:start w:val="1"/>
      <w:numFmt w:val="upperRoman"/>
      <w:lvlText w:val="%4."/>
      <w:lvlJc w:val="right"/>
      <w:pPr>
        <w:tabs>
          <w:tab w:val="num" w:pos="2880"/>
        </w:tabs>
        <w:ind w:left="2880" w:hanging="360"/>
      </w:pPr>
    </w:lvl>
    <w:lvl w:ilvl="4" w:tplc="BC0C9268" w:tentative="1">
      <w:start w:val="1"/>
      <w:numFmt w:val="upperRoman"/>
      <w:lvlText w:val="%5."/>
      <w:lvlJc w:val="right"/>
      <w:pPr>
        <w:tabs>
          <w:tab w:val="num" w:pos="3600"/>
        </w:tabs>
        <w:ind w:left="3600" w:hanging="360"/>
      </w:pPr>
    </w:lvl>
    <w:lvl w:ilvl="5" w:tplc="2B781A0E" w:tentative="1">
      <w:start w:val="1"/>
      <w:numFmt w:val="upperRoman"/>
      <w:lvlText w:val="%6."/>
      <w:lvlJc w:val="right"/>
      <w:pPr>
        <w:tabs>
          <w:tab w:val="num" w:pos="4320"/>
        </w:tabs>
        <w:ind w:left="4320" w:hanging="360"/>
      </w:pPr>
    </w:lvl>
    <w:lvl w:ilvl="6" w:tplc="EC0E8248" w:tentative="1">
      <w:start w:val="1"/>
      <w:numFmt w:val="upperRoman"/>
      <w:lvlText w:val="%7."/>
      <w:lvlJc w:val="right"/>
      <w:pPr>
        <w:tabs>
          <w:tab w:val="num" w:pos="5040"/>
        </w:tabs>
        <w:ind w:left="5040" w:hanging="360"/>
      </w:pPr>
    </w:lvl>
    <w:lvl w:ilvl="7" w:tplc="88B0731E" w:tentative="1">
      <w:start w:val="1"/>
      <w:numFmt w:val="upperRoman"/>
      <w:lvlText w:val="%8."/>
      <w:lvlJc w:val="right"/>
      <w:pPr>
        <w:tabs>
          <w:tab w:val="num" w:pos="5760"/>
        </w:tabs>
        <w:ind w:left="5760" w:hanging="360"/>
      </w:pPr>
    </w:lvl>
    <w:lvl w:ilvl="8" w:tplc="C5CEF762" w:tentative="1">
      <w:start w:val="1"/>
      <w:numFmt w:val="upperRoman"/>
      <w:lvlText w:val="%9."/>
      <w:lvlJc w:val="right"/>
      <w:pPr>
        <w:tabs>
          <w:tab w:val="num" w:pos="6480"/>
        </w:tabs>
        <w:ind w:left="6480" w:hanging="360"/>
      </w:pPr>
    </w:lvl>
  </w:abstractNum>
  <w:abstractNum w:abstractNumId="2">
    <w:nsid w:val="09C874EC"/>
    <w:multiLevelType w:val="hybridMultilevel"/>
    <w:tmpl w:val="8D0A617E"/>
    <w:lvl w:ilvl="0" w:tplc="B4943FE8">
      <w:start w:val="1"/>
      <w:numFmt w:val="bullet"/>
      <w:lvlText w:val=""/>
      <w:lvlJc w:val="left"/>
      <w:pPr>
        <w:tabs>
          <w:tab w:val="num" w:pos="720"/>
        </w:tabs>
        <w:ind w:left="720" w:hanging="360"/>
      </w:pPr>
      <w:rPr>
        <w:rFonts w:ascii="Wingdings 3" w:hAnsi="Wingdings 3" w:hint="default"/>
      </w:rPr>
    </w:lvl>
    <w:lvl w:ilvl="1" w:tplc="F7D65734" w:tentative="1">
      <w:start w:val="1"/>
      <w:numFmt w:val="bullet"/>
      <w:lvlText w:val=""/>
      <w:lvlJc w:val="left"/>
      <w:pPr>
        <w:tabs>
          <w:tab w:val="num" w:pos="1440"/>
        </w:tabs>
        <w:ind w:left="1440" w:hanging="360"/>
      </w:pPr>
      <w:rPr>
        <w:rFonts w:ascii="Wingdings 3" w:hAnsi="Wingdings 3" w:hint="default"/>
      </w:rPr>
    </w:lvl>
    <w:lvl w:ilvl="2" w:tplc="F1E8DE4C" w:tentative="1">
      <w:start w:val="1"/>
      <w:numFmt w:val="bullet"/>
      <w:lvlText w:val=""/>
      <w:lvlJc w:val="left"/>
      <w:pPr>
        <w:tabs>
          <w:tab w:val="num" w:pos="2160"/>
        </w:tabs>
        <w:ind w:left="2160" w:hanging="360"/>
      </w:pPr>
      <w:rPr>
        <w:rFonts w:ascii="Wingdings 3" w:hAnsi="Wingdings 3" w:hint="default"/>
      </w:rPr>
    </w:lvl>
    <w:lvl w:ilvl="3" w:tplc="96F23780" w:tentative="1">
      <w:start w:val="1"/>
      <w:numFmt w:val="bullet"/>
      <w:lvlText w:val=""/>
      <w:lvlJc w:val="left"/>
      <w:pPr>
        <w:tabs>
          <w:tab w:val="num" w:pos="2880"/>
        </w:tabs>
        <w:ind w:left="2880" w:hanging="360"/>
      </w:pPr>
      <w:rPr>
        <w:rFonts w:ascii="Wingdings 3" w:hAnsi="Wingdings 3" w:hint="default"/>
      </w:rPr>
    </w:lvl>
    <w:lvl w:ilvl="4" w:tplc="96EECC46" w:tentative="1">
      <w:start w:val="1"/>
      <w:numFmt w:val="bullet"/>
      <w:lvlText w:val=""/>
      <w:lvlJc w:val="left"/>
      <w:pPr>
        <w:tabs>
          <w:tab w:val="num" w:pos="3600"/>
        </w:tabs>
        <w:ind w:left="3600" w:hanging="360"/>
      </w:pPr>
      <w:rPr>
        <w:rFonts w:ascii="Wingdings 3" w:hAnsi="Wingdings 3" w:hint="default"/>
      </w:rPr>
    </w:lvl>
    <w:lvl w:ilvl="5" w:tplc="5764FFA0" w:tentative="1">
      <w:start w:val="1"/>
      <w:numFmt w:val="bullet"/>
      <w:lvlText w:val=""/>
      <w:lvlJc w:val="left"/>
      <w:pPr>
        <w:tabs>
          <w:tab w:val="num" w:pos="4320"/>
        </w:tabs>
        <w:ind w:left="4320" w:hanging="360"/>
      </w:pPr>
      <w:rPr>
        <w:rFonts w:ascii="Wingdings 3" w:hAnsi="Wingdings 3" w:hint="default"/>
      </w:rPr>
    </w:lvl>
    <w:lvl w:ilvl="6" w:tplc="36F6F29E" w:tentative="1">
      <w:start w:val="1"/>
      <w:numFmt w:val="bullet"/>
      <w:lvlText w:val=""/>
      <w:lvlJc w:val="left"/>
      <w:pPr>
        <w:tabs>
          <w:tab w:val="num" w:pos="5040"/>
        </w:tabs>
        <w:ind w:left="5040" w:hanging="360"/>
      </w:pPr>
      <w:rPr>
        <w:rFonts w:ascii="Wingdings 3" w:hAnsi="Wingdings 3" w:hint="default"/>
      </w:rPr>
    </w:lvl>
    <w:lvl w:ilvl="7" w:tplc="5130270C" w:tentative="1">
      <w:start w:val="1"/>
      <w:numFmt w:val="bullet"/>
      <w:lvlText w:val=""/>
      <w:lvlJc w:val="left"/>
      <w:pPr>
        <w:tabs>
          <w:tab w:val="num" w:pos="5760"/>
        </w:tabs>
        <w:ind w:left="5760" w:hanging="360"/>
      </w:pPr>
      <w:rPr>
        <w:rFonts w:ascii="Wingdings 3" w:hAnsi="Wingdings 3" w:hint="default"/>
      </w:rPr>
    </w:lvl>
    <w:lvl w:ilvl="8" w:tplc="543A91DA" w:tentative="1">
      <w:start w:val="1"/>
      <w:numFmt w:val="bullet"/>
      <w:lvlText w:val=""/>
      <w:lvlJc w:val="left"/>
      <w:pPr>
        <w:tabs>
          <w:tab w:val="num" w:pos="6480"/>
        </w:tabs>
        <w:ind w:left="6480" w:hanging="360"/>
      </w:pPr>
      <w:rPr>
        <w:rFonts w:ascii="Wingdings 3" w:hAnsi="Wingdings 3" w:hint="default"/>
      </w:rPr>
    </w:lvl>
  </w:abstractNum>
  <w:abstractNum w:abstractNumId="3">
    <w:nsid w:val="0F2407F6"/>
    <w:multiLevelType w:val="hybridMultilevel"/>
    <w:tmpl w:val="2868709E"/>
    <w:lvl w:ilvl="0" w:tplc="F296FB7A">
      <w:start w:val="1"/>
      <w:numFmt w:val="bullet"/>
      <w:lvlText w:val=""/>
      <w:lvlJc w:val="left"/>
      <w:pPr>
        <w:tabs>
          <w:tab w:val="num" w:pos="720"/>
        </w:tabs>
        <w:ind w:left="720" w:hanging="360"/>
      </w:pPr>
      <w:rPr>
        <w:rFonts w:ascii="Wingdings 3" w:hAnsi="Wingdings 3" w:hint="default"/>
      </w:rPr>
    </w:lvl>
    <w:lvl w:ilvl="1" w:tplc="44805D62" w:tentative="1">
      <w:start w:val="1"/>
      <w:numFmt w:val="bullet"/>
      <w:lvlText w:val=""/>
      <w:lvlJc w:val="left"/>
      <w:pPr>
        <w:tabs>
          <w:tab w:val="num" w:pos="1440"/>
        </w:tabs>
        <w:ind w:left="1440" w:hanging="360"/>
      </w:pPr>
      <w:rPr>
        <w:rFonts w:ascii="Wingdings 3" w:hAnsi="Wingdings 3" w:hint="default"/>
      </w:rPr>
    </w:lvl>
    <w:lvl w:ilvl="2" w:tplc="FCD2CF6C" w:tentative="1">
      <w:start w:val="1"/>
      <w:numFmt w:val="bullet"/>
      <w:lvlText w:val=""/>
      <w:lvlJc w:val="left"/>
      <w:pPr>
        <w:tabs>
          <w:tab w:val="num" w:pos="2160"/>
        </w:tabs>
        <w:ind w:left="2160" w:hanging="360"/>
      </w:pPr>
      <w:rPr>
        <w:rFonts w:ascii="Wingdings 3" w:hAnsi="Wingdings 3" w:hint="default"/>
      </w:rPr>
    </w:lvl>
    <w:lvl w:ilvl="3" w:tplc="045CA146" w:tentative="1">
      <w:start w:val="1"/>
      <w:numFmt w:val="bullet"/>
      <w:lvlText w:val=""/>
      <w:lvlJc w:val="left"/>
      <w:pPr>
        <w:tabs>
          <w:tab w:val="num" w:pos="2880"/>
        </w:tabs>
        <w:ind w:left="2880" w:hanging="360"/>
      </w:pPr>
      <w:rPr>
        <w:rFonts w:ascii="Wingdings 3" w:hAnsi="Wingdings 3" w:hint="default"/>
      </w:rPr>
    </w:lvl>
    <w:lvl w:ilvl="4" w:tplc="90266A68" w:tentative="1">
      <w:start w:val="1"/>
      <w:numFmt w:val="bullet"/>
      <w:lvlText w:val=""/>
      <w:lvlJc w:val="left"/>
      <w:pPr>
        <w:tabs>
          <w:tab w:val="num" w:pos="3600"/>
        </w:tabs>
        <w:ind w:left="3600" w:hanging="360"/>
      </w:pPr>
      <w:rPr>
        <w:rFonts w:ascii="Wingdings 3" w:hAnsi="Wingdings 3" w:hint="default"/>
      </w:rPr>
    </w:lvl>
    <w:lvl w:ilvl="5" w:tplc="8FDA37A6" w:tentative="1">
      <w:start w:val="1"/>
      <w:numFmt w:val="bullet"/>
      <w:lvlText w:val=""/>
      <w:lvlJc w:val="left"/>
      <w:pPr>
        <w:tabs>
          <w:tab w:val="num" w:pos="4320"/>
        </w:tabs>
        <w:ind w:left="4320" w:hanging="360"/>
      </w:pPr>
      <w:rPr>
        <w:rFonts w:ascii="Wingdings 3" w:hAnsi="Wingdings 3" w:hint="default"/>
      </w:rPr>
    </w:lvl>
    <w:lvl w:ilvl="6" w:tplc="46FC9B70" w:tentative="1">
      <w:start w:val="1"/>
      <w:numFmt w:val="bullet"/>
      <w:lvlText w:val=""/>
      <w:lvlJc w:val="left"/>
      <w:pPr>
        <w:tabs>
          <w:tab w:val="num" w:pos="5040"/>
        </w:tabs>
        <w:ind w:left="5040" w:hanging="360"/>
      </w:pPr>
      <w:rPr>
        <w:rFonts w:ascii="Wingdings 3" w:hAnsi="Wingdings 3" w:hint="default"/>
      </w:rPr>
    </w:lvl>
    <w:lvl w:ilvl="7" w:tplc="966E71B6" w:tentative="1">
      <w:start w:val="1"/>
      <w:numFmt w:val="bullet"/>
      <w:lvlText w:val=""/>
      <w:lvlJc w:val="left"/>
      <w:pPr>
        <w:tabs>
          <w:tab w:val="num" w:pos="5760"/>
        </w:tabs>
        <w:ind w:left="5760" w:hanging="360"/>
      </w:pPr>
      <w:rPr>
        <w:rFonts w:ascii="Wingdings 3" w:hAnsi="Wingdings 3" w:hint="default"/>
      </w:rPr>
    </w:lvl>
    <w:lvl w:ilvl="8" w:tplc="D298C7B4" w:tentative="1">
      <w:start w:val="1"/>
      <w:numFmt w:val="bullet"/>
      <w:lvlText w:val=""/>
      <w:lvlJc w:val="left"/>
      <w:pPr>
        <w:tabs>
          <w:tab w:val="num" w:pos="6480"/>
        </w:tabs>
        <w:ind w:left="6480" w:hanging="360"/>
      </w:pPr>
      <w:rPr>
        <w:rFonts w:ascii="Wingdings 3" w:hAnsi="Wingdings 3" w:hint="default"/>
      </w:rPr>
    </w:lvl>
  </w:abstractNum>
  <w:abstractNum w:abstractNumId="4">
    <w:nsid w:val="0FFC6311"/>
    <w:multiLevelType w:val="hybridMultilevel"/>
    <w:tmpl w:val="AD727E44"/>
    <w:lvl w:ilvl="0" w:tplc="71BCD546">
      <w:start w:val="1"/>
      <w:numFmt w:val="upperRoman"/>
      <w:lvlText w:val="%1."/>
      <w:lvlJc w:val="right"/>
      <w:pPr>
        <w:tabs>
          <w:tab w:val="num" w:pos="720"/>
        </w:tabs>
        <w:ind w:left="720" w:hanging="360"/>
      </w:pPr>
    </w:lvl>
    <w:lvl w:ilvl="1" w:tplc="606EEC50" w:tentative="1">
      <w:start w:val="1"/>
      <w:numFmt w:val="upperRoman"/>
      <w:lvlText w:val="%2."/>
      <w:lvlJc w:val="right"/>
      <w:pPr>
        <w:tabs>
          <w:tab w:val="num" w:pos="1440"/>
        </w:tabs>
        <w:ind w:left="1440" w:hanging="360"/>
      </w:pPr>
    </w:lvl>
    <w:lvl w:ilvl="2" w:tplc="5B924AAE" w:tentative="1">
      <w:start w:val="1"/>
      <w:numFmt w:val="upperRoman"/>
      <w:lvlText w:val="%3."/>
      <w:lvlJc w:val="right"/>
      <w:pPr>
        <w:tabs>
          <w:tab w:val="num" w:pos="2160"/>
        </w:tabs>
        <w:ind w:left="2160" w:hanging="360"/>
      </w:pPr>
    </w:lvl>
    <w:lvl w:ilvl="3" w:tplc="5216866E" w:tentative="1">
      <w:start w:val="1"/>
      <w:numFmt w:val="upperRoman"/>
      <w:lvlText w:val="%4."/>
      <w:lvlJc w:val="right"/>
      <w:pPr>
        <w:tabs>
          <w:tab w:val="num" w:pos="2880"/>
        </w:tabs>
        <w:ind w:left="2880" w:hanging="360"/>
      </w:pPr>
    </w:lvl>
    <w:lvl w:ilvl="4" w:tplc="C49C450C" w:tentative="1">
      <w:start w:val="1"/>
      <w:numFmt w:val="upperRoman"/>
      <w:lvlText w:val="%5."/>
      <w:lvlJc w:val="right"/>
      <w:pPr>
        <w:tabs>
          <w:tab w:val="num" w:pos="3600"/>
        </w:tabs>
        <w:ind w:left="3600" w:hanging="360"/>
      </w:pPr>
    </w:lvl>
    <w:lvl w:ilvl="5" w:tplc="6DCA635C" w:tentative="1">
      <w:start w:val="1"/>
      <w:numFmt w:val="upperRoman"/>
      <w:lvlText w:val="%6."/>
      <w:lvlJc w:val="right"/>
      <w:pPr>
        <w:tabs>
          <w:tab w:val="num" w:pos="4320"/>
        </w:tabs>
        <w:ind w:left="4320" w:hanging="360"/>
      </w:pPr>
    </w:lvl>
    <w:lvl w:ilvl="6" w:tplc="1D50FCB6" w:tentative="1">
      <w:start w:val="1"/>
      <w:numFmt w:val="upperRoman"/>
      <w:lvlText w:val="%7."/>
      <w:lvlJc w:val="right"/>
      <w:pPr>
        <w:tabs>
          <w:tab w:val="num" w:pos="5040"/>
        </w:tabs>
        <w:ind w:left="5040" w:hanging="360"/>
      </w:pPr>
    </w:lvl>
    <w:lvl w:ilvl="7" w:tplc="9F44A012" w:tentative="1">
      <w:start w:val="1"/>
      <w:numFmt w:val="upperRoman"/>
      <w:lvlText w:val="%8."/>
      <w:lvlJc w:val="right"/>
      <w:pPr>
        <w:tabs>
          <w:tab w:val="num" w:pos="5760"/>
        </w:tabs>
        <w:ind w:left="5760" w:hanging="360"/>
      </w:pPr>
    </w:lvl>
    <w:lvl w:ilvl="8" w:tplc="3D2875C0" w:tentative="1">
      <w:start w:val="1"/>
      <w:numFmt w:val="upperRoman"/>
      <w:lvlText w:val="%9."/>
      <w:lvlJc w:val="right"/>
      <w:pPr>
        <w:tabs>
          <w:tab w:val="num" w:pos="6480"/>
        </w:tabs>
        <w:ind w:left="6480" w:hanging="360"/>
      </w:pPr>
    </w:lvl>
  </w:abstractNum>
  <w:abstractNum w:abstractNumId="5">
    <w:nsid w:val="161444D2"/>
    <w:multiLevelType w:val="hybridMultilevel"/>
    <w:tmpl w:val="E85467DE"/>
    <w:lvl w:ilvl="0" w:tplc="0C9032A0">
      <w:start w:val="1"/>
      <w:numFmt w:val="bullet"/>
      <w:lvlText w:val=""/>
      <w:lvlJc w:val="left"/>
      <w:pPr>
        <w:tabs>
          <w:tab w:val="num" w:pos="720"/>
        </w:tabs>
        <w:ind w:left="720" w:hanging="360"/>
      </w:pPr>
      <w:rPr>
        <w:rFonts w:ascii="Wingdings 3" w:hAnsi="Wingdings 3" w:hint="default"/>
      </w:rPr>
    </w:lvl>
    <w:lvl w:ilvl="1" w:tplc="AE1AA77C" w:tentative="1">
      <w:start w:val="1"/>
      <w:numFmt w:val="bullet"/>
      <w:lvlText w:val=""/>
      <w:lvlJc w:val="left"/>
      <w:pPr>
        <w:tabs>
          <w:tab w:val="num" w:pos="1440"/>
        </w:tabs>
        <w:ind w:left="1440" w:hanging="360"/>
      </w:pPr>
      <w:rPr>
        <w:rFonts w:ascii="Wingdings 3" w:hAnsi="Wingdings 3" w:hint="default"/>
      </w:rPr>
    </w:lvl>
    <w:lvl w:ilvl="2" w:tplc="F440F3F6" w:tentative="1">
      <w:start w:val="1"/>
      <w:numFmt w:val="bullet"/>
      <w:lvlText w:val=""/>
      <w:lvlJc w:val="left"/>
      <w:pPr>
        <w:tabs>
          <w:tab w:val="num" w:pos="2160"/>
        </w:tabs>
        <w:ind w:left="2160" w:hanging="360"/>
      </w:pPr>
      <w:rPr>
        <w:rFonts w:ascii="Wingdings 3" w:hAnsi="Wingdings 3" w:hint="default"/>
      </w:rPr>
    </w:lvl>
    <w:lvl w:ilvl="3" w:tplc="C4A8167A" w:tentative="1">
      <w:start w:val="1"/>
      <w:numFmt w:val="bullet"/>
      <w:lvlText w:val=""/>
      <w:lvlJc w:val="left"/>
      <w:pPr>
        <w:tabs>
          <w:tab w:val="num" w:pos="2880"/>
        </w:tabs>
        <w:ind w:left="2880" w:hanging="360"/>
      </w:pPr>
      <w:rPr>
        <w:rFonts w:ascii="Wingdings 3" w:hAnsi="Wingdings 3" w:hint="default"/>
      </w:rPr>
    </w:lvl>
    <w:lvl w:ilvl="4" w:tplc="A4525FF6" w:tentative="1">
      <w:start w:val="1"/>
      <w:numFmt w:val="bullet"/>
      <w:lvlText w:val=""/>
      <w:lvlJc w:val="left"/>
      <w:pPr>
        <w:tabs>
          <w:tab w:val="num" w:pos="3600"/>
        </w:tabs>
        <w:ind w:left="3600" w:hanging="360"/>
      </w:pPr>
      <w:rPr>
        <w:rFonts w:ascii="Wingdings 3" w:hAnsi="Wingdings 3" w:hint="default"/>
      </w:rPr>
    </w:lvl>
    <w:lvl w:ilvl="5" w:tplc="D916E4D8" w:tentative="1">
      <w:start w:val="1"/>
      <w:numFmt w:val="bullet"/>
      <w:lvlText w:val=""/>
      <w:lvlJc w:val="left"/>
      <w:pPr>
        <w:tabs>
          <w:tab w:val="num" w:pos="4320"/>
        </w:tabs>
        <w:ind w:left="4320" w:hanging="360"/>
      </w:pPr>
      <w:rPr>
        <w:rFonts w:ascii="Wingdings 3" w:hAnsi="Wingdings 3" w:hint="default"/>
      </w:rPr>
    </w:lvl>
    <w:lvl w:ilvl="6" w:tplc="C776A488" w:tentative="1">
      <w:start w:val="1"/>
      <w:numFmt w:val="bullet"/>
      <w:lvlText w:val=""/>
      <w:lvlJc w:val="left"/>
      <w:pPr>
        <w:tabs>
          <w:tab w:val="num" w:pos="5040"/>
        </w:tabs>
        <w:ind w:left="5040" w:hanging="360"/>
      </w:pPr>
      <w:rPr>
        <w:rFonts w:ascii="Wingdings 3" w:hAnsi="Wingdings 3" w:hint="default"/>
      </w:rPr>
    </w:lvl>
    <w:lvl w:ilvl="7" w:tplc="7C322F50" w:tentative="1">
      <w:start w:val="1"/>
      <w:numFmt w:val="bullet"/>
      <w:lvlText w:val=""/>
      <w:lvlJc w:val="left"/>
      <w:pPr>
        <w:tabs>
          <w:tab w:val="num" w:pos="5760"/>
        </w:tabs>
        <w:ind w:left="5760" w:hanging="360"/>
      </w:pPr>
      <w:rPr>
        <w:rFonts w:ascii="Wingdings 3" w:hAnsi="Wingdings 3" w:hint="default"/>
      </w:rPr>
    </w:lvl>
    <w:lvl w:ilvl="8" w:tplc="9F286F92" w:tentative="1">
      <w:start w:val="1"/>
      <w:numFmt w:val="bullet"/>
      <w:lvlText w:val=""/>
      <w:lvlJc w:val="left"/>
      <w:pPr>
        <w:tabs>
          <w:tab w:val="num" w:pos="6480"/>
        </w:tabs>
        <w:ind w:left="6480" w:hanging="360"/>
      </w:pPr>
      <w:rPr>
        <w:rFonts w:ascii="Wingdings 3" w:hAnsi="Wingdings 3" w:hint="default"/>
      </w:rPr>
    </w:lvl>
  </w:abstractNum>
  <w:abstractNum w:abstractNumId="6">
    <w:nsid w:val="16CA783E"/>
    <w:multiLevelType w:val="hybridMultilevel"/>
    <w:tmpl w:val="6764C5D6"/>
    <w:lvl w:ilvl="0" w:tplc="588660EA">
      <w:start w:val="1"/>
      <w:numFmt w:val="bullet"/>
      <w:lvlText w:val=""/>
      <w:lvlJc w:val="left"/>
      <w:pPr>
        <w:tabs>
          <w:tab w:val="num" w:pos="720"/>
        </w:tabs>
        <w:ind w:left="720" w:hanging="360"/>
      </w:pPr>
      <w:rPr>
        <w:rFonts w:ascii="Wingdings 3" w:hAnsi="Wingdings 3" w:hint="default"/>
      </w:rPr>
    </w:lvl>
    <w:lvl w:ilvl="1" w:tplc="7CEA8E12" w:tentative="1">
      <w:start w:val="1"/>
      <w:numFmt w:val="bullet"/>
      <w:lvlText w:val=""/>
      <w:lvlJc w:val="left"/>
      <w:pPr>
        <w:tabs>
          <w:tab w:val="num" w:pos="1440"/>
        </w:tabs>
        <w:ind w:left="1440" w:hanging="360"/>
      </w:pPr>
      <w:rPr>
        <w:rFonts w:ascii="Wingdings 3" w:hAnsi="Wingdings 3" w:hint="default"/>
      </w:rPr>
    </w:lvl>
    <w:lvl w:ilvl="2" w:tplc="F5EAD57E" w:tentative="1">
      <w:start w:val="1"/>
      <w:numFmt w:val="bullet"/>
      <w:lvlText w:val=""/>
      <w:lvlJc w:val="left"/>
      <w:pPr>
        <w:tabs>
          <w:tab w:val="num" w:pos="2160"/>
        </w:tabs>
        <w:ind w:left="2160" w:hanging="360"/>
      </w:pPr>
      <w:rPr>
        <w:rFonts w:ascii="Wingdings 3" w:hAnsi="Wingdings 3" w:hint="default"/>
      </w:rPr>
    </w:lvl>
    <w:lvl w:ilvl="3" w:tplc="DB96CA16" w:tentative="1">
      <w:start w:val="1"/>
      <w:numFmt w:val="bullet"/>
      <w:lvlText w:val=""/>
      <w:lvlJc w:val="left"/>
      <w:pPr>
        <w:tabs>
          <w:tab w:val="num" w:pos="2880"/>
        </w:tabs>
        <w:ind w:left="2880" w:hanging="360"/>
      </w:pPr>
      <w:rPr>
        <w:rFonts w:ascii="Wingdings 3" w:hAnsi="Wingdings 3" w:hint="default"/>
      </w:rPr>
    </w:lvl>
    <w:lvl w:ilvl="4" w:tplc="21341C3C" w:tentative="1">
      <w:start w:val="1"/>
      <w:numFmt w:val="bullet"/>
      <w:lvlText w:val=""/>
      <w:lvlJc w:val="left"/>
      <w:pPr>
        <w:tabs>
          <w:tab w:val="num" w:pos="3600"/>
        </w:tabs>
        <w:ind w:left="3600" w:hanging="360"/>
      </w:pPr>
      <w:rPr>
        <w:rFonts w:ascii="Wingdings 3" w:hAnsi="Wingdings 3" w:hint="default"/>
      </w:rPr>
    </w:lvl>
    <w:lvl w:ilvl="5" w:tplc="6F069AFC" w:tentative="1">
      <w:start w:val="1"/>
      <w:numFmt w:val="bullet"/>
      <w:lvlText w:val=""/>
      <w:lvlJc w:val="left"/>
      <w:pPr>
        <w:tabs>
          <w:tab w:val="num" w:pos="4320"/>
        </w:tabs>
        <w:ind w:left="4320" w:hanging="360"/>
      </w:pPr>
      <w:rPr>
        <w:rFonts w:ascii="Wingdings 3" w:hAnsi="Wingdings 3" w:hint="default"/>
      </w:rPr>
    </w:lvl>
    <w:lvl w:ilvl="6" w:tplc="2D125886" w:tentative="1">
      <w:start w:val="1"/>
      <w:numFmt w:val="bullet"/>
      <w:lvlText w:val=""/>
      <w:lvlJc w:val="left"/>
      <w:pPr>
        <w:tabs>
          <w:tab w:val="num" w:pos="5040"/>
        </w:tabs>
        <w:ind w:left="5040" w:hanging="360"/>
      </w:pPr>
      <w:rPr>
        <w:rFonts w:ascii="Wingdings 3" w:hAnsi="Wingdings 3" w:hint="default"/>
      </w:rPr>
    </w:lvl>
    <w:lvl w:ilvl="7" w:tplc="982EBC66" w:tentative="1">
      <w:start w:val="1"/>
      <w:numFmt w:val="bullet"/>
      <w:lvlText w:val=""/>
      <w:lvlJc w:val="left"/>
      <w:pPr>
        <w:tabs>
          <w:tab w:val="num" w:pos="5760"/>
        </w:tabs>
        <w:ind w:left="5760" w:hanging="360"/>
      </w:pPr>
      <w:rPr>
        <w:rFonts w:ascii="Wingdings 3" w:hAnsi="Wingdings 3" w:hint="default"/>
      </w:rPr>
    </w:lvl>
    <w:lvl w:ilvl="8" w:tplc="486A814E" w:tentative="1">
      <w:start w:val="1"/>
      <w:numFmt w:val="bullet"/>
      <w:lvlText w:val=""/>
      <w:lvlJc w:val="left"/>
      <w:pPr>
        <w:tabs>
          <w:tab w:val="num" w:pos="6480"/>
        </w:tabs>
        <w:ind w:left="6480" w:hanging="360"/>
      </w:pPr>
      <w:rPr>
        <w:rFonts w:ascii="Wingdings 3" w:hAnsi="Wingdings 3" w:hint="default"/>
      </w:rPr>
    </w:lvl>
  </w:abstractNum>
  <w:abstractNum w:abstractNumId="7">
    <w:nsid w:val="219920F6"/>
    <w:multiLevelType w:val="hybridMultilevel"/>
    <w:tmpl w:val="5F6C0ED2"/>
    <w:lvl w:ilvl="0" w:tplc="D87CC254">
      <w:start w:val="1"/>
      <w:numFmt w:val="decimal"/>
      <w:lvlText w:val="%1."/>
      <w:lvlJc w:val="left"/>
      <w:pPr>
        <w:tabs>
          <w:tab w:val="num" w:pos="720"/>
        </w:tabs>
        <w:ind w:left="720" w:hanging="360"/>
      </w:pPr>
    </w:lvl>
    <w:lvl w:ilvl="1" w:tplc="891ED168">
      <w:start w:val="1"/>
      <w:numFmt w:val="decimal"/>
      <w:lvlText w:val="%2."/>
      <w:lvlJc w:val="left"/>
      <w:pPr>
        <w:tabs>
          <w:tab w:val="num" w:pos="1440"/>
        </w:tabs>
        <w:ind w:left="1440" w:hanging="360"/>
      </w:pPr>
    </w:lvl>
    <w:lvl w:ilvl="2" w:tplc="03A4E9EC" w:tentative="1">
      <w:start w:val="1"/>
      <w:numFmt w:val="decimal"/>
      <w:lvlText w:val="%3."/>
      <w:lvlJc w:val="left"/>
      <w:pPr>
        <w:tabs>
          <w:tab w:val="num" w:pos="2160"/>
        </w:tabs>
        <w:ind w:left="2160" w:hanging="360"/>
      </w:pPr>
    </w:lvl>
    <w:lvl w:ilvl="3" w:tplc="8DA8FA46" w:tentative="1">
      <w:start w:val="1"/>
      <w:numFmt w:val="decimal"/>
      <w:lvlText w:val="%4."/>
      <w:lvlJc w:val="left"/>
      <w:pPr>
        <w:tabs>
          <w:tab w:val="num" w:pos="2880"/>
        </w:tabs>
        <w:ind w:left="2880" w:hanging="360"/>
      </w:pPr>
    </w:lvl>
    <w:lvl w:ilvl="4" w:tplc="1B6A20F6" w:tentative="1">
      <w:start w:val="1"/>
      <w:numFmt w:val="decimal"/>
      <w:lvlText w:val="%5."/>
      <w:lvlJc w:val="left"/>
      <w:pPr>
        <w:tabs>
          <w:tab w:val="num" w:pos="3600"/>
        </w:tabs>
        <w:ind w:left="3600" w:hanging="360"/>
      </w:pPr>
    </w:lvl>
    <w:lvl w:ilvl="5" w:tplc="D818CDA0" w:tentative="1">
      <w:start w:val="1"/>
      <w:numFmt w:val="decimal"/>
      <w:lvlText w:val="%6."/>
      <w:lvlJc w:val="left"/>
      <w:pPr>
        <w:tabs>
          <w:tab w:val="num" w:pos="4320"/>
        </w:tabs>
        <w:ind w:left="4320" w:hanging="360"/>
      </w:pPr>
    </w:lvl>
    <w:lvl w:ilvl="6" w:tplc="084CB582" w:tentative="1">
      <w:start w:val="1"/>
      <w:numFmt w:val="decimal"/>
      <w:lvlText w:val="%7."/>
      <w:lvlJc w:val="left"/>
      <w:pPr>
        <w:tabs>
          <w:tab w:val="num" w:pos="5040"/>
        </w:tabs>
        <w:ind w:left="5040" w:hanging="360"/>
      </w:pPr>
    </w:lvl>
    <w:lvl w:ilvl="7" w:tplc="EA0C4D04" w:tentative="1">
      <w:start w:val="1"/>
      <w:numFmt w:val="decimal"/>
      <w:lvlText w:val="%8."/>
      <w:lvlJc w:val="left"/>
      <w:pPr>
        <w:tabs>
          <w:tab w:val="num" w:pos="5760"/>
        </w:tabs>
        <w:ind w:left="5760" w:hanging="360"/>
      </w:pPr>
    </w:lvl>
    <w:lvl w:ilvl="8" w:tplc="E1BEFA4A" w:tentative="1">
      <w:start w:val="1"/>
      <w:numFmt w:val="decimal"/>
      <w:lvlText w:val="%9."/>
      <w:lvlJc w:val="left"/>
      <w:pPr>
        <w:tabs>
          <w:tab w:val="num" w:pos="6480"/>
        </w:tabs>
        <w:ind w:left="6480" w:hanging="360"/>
      </w:pPr>
    </w:lvl>
  </w:abstractNum>
  <w:abstractNum w:abstractNumId="8">
    <w:nsid w:val="2A5D6023"/>
    <w:multiLevelType w:val="hybridMultilevel"/>
    <w:tmpl w:val="35CAD3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43753E"/>
    <w:multiLevelType w:val="hybridMultilevel"/>
    <w:tmpl w:val="3C224838"/>
    <w:lvl w:ilvl="0" w:tplc="F0048284">
      <w:start w:val="1"/>
      <w:numFmt w:val="upperRoman"/>
      <w:lvlText w:val="%1."/>
      <w:lvlJc w:val="right"/>
      <w:pPr>
        <w:tabs>
          <w:tab w:val="num" w:pos="720"/>
        </w:tabs>
        <w:ind w:left="720" w:hanging="360"/>
      </w:pPr>
    </w:lvl>
    <w:lvl w:ilvl="1" w:tplc="631A3B9C" w:tentative="1">
      <w:start w:val="1"/>
      <w:numFmt w:val="upperRoman"/>
      <w:lvlText w:val="%2."/>
      <w:lvlJc w:val="right"/>
      <w:pPr>
        <w:tabs>
          <w:tab w:val="num" w:pos="1440"/>
        </w:tabs>
        <w:ind w:left="1440" w:hanging="360"/>
      </w:pPr>
    </w:lvl>
    <w:lvl w:ilvl="2" w:tplc="3BDA720C" w:tentative="1">
      <w:start w:val="1"/>
      <w:numFmt w:val="upperRoman"/>
      <w:lvlText w:val="%3."/>
      <w:lvlJc w:val="right"/>
      <w:pPr>
        <w:tabs>
          <w:tab w:val="num" w:pos="2160"/>
        </w:tabs>
        <w:ind w:left="2160" w:hanging="360"/>
      </w:pPr>
    </w:lvl>
    <w:lvl w:ilvl="3" w:tplc="93E41890" w:tentative="1">
      <w:start w:val="1"/>
      <w:numFmt w:val="upperRoman"/>
      <w:lvlText w:val="%4."/>
      <w:lvlJc w:val="right"/>
      <w:pPr>
        <w:tabs>
          <w:tab w:val="num" w:pos="2880"/>
        </w:tabs>
        <w:ind w:left="2880" w:hanging="360"/>
      </w:pPr>
    </w:lvl>
    <w:lvl w:ilvl="4" w:tplc="A4FA9DF2" w:tentative="1">
      <w:start w:val="1"/>
      <w:numFmt w:val="upperRoman"/>
      <w:lvlText w:val="%5."/>
      <w:lvlJc w:val="right"/>
      <w:pPr>
        <w:tabs>
          <w:tab w:val="num" w:pos="3600"/>
        </w:tabs>
        <w:ind w:left="3600" w:hanging="360"/>
      </w:pPr>
    </w:lvl>
    <w:lvl w:ilvl="5" w:tplc="E05E0932" w:tentative="1">
      <w:start w:val="1"/>
      <w:numFmt w:val="upperRoman"/>
      <w:lvlText w:val="%6."/>
      <w:lvlJc w:val="right"/>
      <w:pPr>
        <w:tabs>
          <w:tab w:val="num" w:pos="4320"/>
        </w:tabs>
        <w:ind w:left="4320" w:hanging="360"/>
      </w:pPr>
    </w:lvl>
    <w:lvl w:ilvl="6" w:tplc="3AC63514" w:tentative="1">
      <w:start w:val="1"/>
      <w:numFmt w:val="upperRoman"/>
      <w:lvlText w:val="%7."/>
      <w:lvlJc w:val="right"/>
      <w:pPr>
        <w:tabs>
          <w:tab w:val="num" w:pos="5040"/>
        </w:tabs>
        <w:ind w:left="5040" w:hanging="360"/>
      </w:pPr>
    </w:lvl>
    <w:lvl w:ilvl="7" w:tplc="AA702E72" w:tentative="1">
      <w:start w:val="1"/>
      <w:numFmt w:val="upperRoman"/>
      <w:lvlText w:val="%8."/>
      <w:lvlJc w:val="right"/>
      <w:pPr>
        <w:tabs>
          <w:tab w:val="num" w:pos="5760"/>
        </w:tabs>
        <w:ind w:left="5760" w:hanging="360"/>
      </w:pPr>
    </w:lvl>
    <w:lvl w:ilvl="8" w:tplc="58C289D6" w:tentative="1">
      <w:start w:val="1"/>
      <w:numFmt w:val="upperRoman"/>
      <w:lvlText w:val="%9."/>
      <w:lvlJc w:val="right"/>
      <w:pPr>
        <w:tabs>
          <w:tab w:val="num" w:pos="6480"/>
        </w:tabs>
        <w:ind w:left="6480" w:hanging="360"/>
      </w:pPr>
    </w:lvl>
  </w:abstractNum>
  <w:abstractNum w:abstractNumId="10">
    <w:nsid w:val="32F10702"/>
    <w:multiLevelType w:val="hybridMultilevel"/>
    <w:tmpl w:val="5EEE5A8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9972D0"/>
    <w:multiLevelType w:val="hybridMultilevel"/>
    <w:tmpl w:val="F6FCD7D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34B4A7A"/>
    <w:multiLevelType w:val="hybridMultilevel"/>
    <w:tmpl w:val="0BC862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3B6FB2"/>
    <w:multiLevelType w:val="hybridMultilevel"/>
    <w:tmpl w:val="B7386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A955E2"/>
    <w:multiLevelType w:val="hybridMultilevel"/>
    <w:tmpl w:val="0CA695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3647A74"/>
    <w:multiLevelType w:val="hybridMultilevel"/>
    <w:tmpl w:val="C77EA1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3BF1BEA"/>
    <w:multiLevelType w:val="hybridMultilevel"/>
    <w:tmpl w:val="47887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A718F6"/>
    <w:multiLevelType w:val="hybridMultilevel"/>
    <w:tmpl w:val="2D208A30"/>
    <w:lvl w:ilvl="0" w:tplc="A73E73A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0EE5CF6"/>
    <w:multiLevelType w:val="hybridMultilevel"/>
    <w:tmpl w:val="1E864850"/>
    <w:lvl w:ilvl="0" w:tplc="8A7C24CC">
      <w:start w:val="1"/>
      <w:numFmt w:val="upperRoman"/>
      <w:lvlText w:val="%1."/>
      <w:lvlJc w:val="right"/>
      <w:pPr>
        <w:tabs>
          <w:tab w:val="num" w:pos="720"/>
        </w:tabs>
        <w:ind w:left="720" w:hanging="360"/>
      </w:pPr>
    </w:lvl>
    <w:lvl w:ilvl="1" w:tplc="297E0EE2" w:tentative="1">
      <w:start w:val="1"/>
      <w:numFmt w:val="upperRoman"/>
      <w:lvlText w:val="%2."/>
      <w:lvlJc w:val="right"/>
      <w:pPr>
        <w:tabs>
          <w:tab w:val="num" w:pos="1440"/>
        </w:tabs>
        <w:ind w:left="1440" w:hanging="360"/>
      </w:pPr>
    </w:lvl>
    <w:lvl w:ilvl="2" w:tplc="49D02874" w:tentative="1">
      <w:start w:val="1"/>
      <w:numFmt w:val="upperRoman"/>
      <w:lvlText w:val="%3."/>
      <w:lvlJc w:val="right"/>
      <w:pPr>
        <w:tabs>
          <w:tab w:val="num" w:pos="2160"/>
        </w:tabs>
        <w:ind w:left="2160" w:hanging="360"/>
      </w:pPr>
    </w:lvl>
    <w:lvl w:ilvl="3" w:tplc="33DE36AA" w:tentative="1">
      <w:start w:val="1"/>
      <w:numFmt w:val="upperRoman"/>
      <w:lvlText w:val="%4."/>
      <w:lvlJc w:val="right"/>
      <w:pPr>
        <w:tabs>
          <w:tab w:val="num" w:pos="2880"/>
        </w:tabs>
        <w:ind w:left="2880" w:hanging="360"/>
      </w:pPr>
    </w:lvl>
    <w:lvl w:ilvl="4" w:tplc="9872B4E4" w:tentative="1">
      <w:start w:val="1"/>
      <w:numFmt w:val="upperRoman"/>
      <w:lvlText w:val="%5."/>
      <w:lvlJc w:val="right"/>
      <w:pPr>
        <w:tabs>
          <w:tab w:val="num" w:pos="3600"/>
        </w:tabs>
        <w:ind w:left="3600" w:hanging="360"/>
      </w:pPr>
    </w:lvl>
    <w:lvl w:ilvl="5" w:tplc="323C8360" w:tentative="1">
      <w:start w:val="1"/>
      <w:numFmt w:val="upperRoman"/>
      <w:lvlText w:val="%6."/>
      <w:lvlJc w:val="right"/>
      <w:pPr>
        <w:tabs>
          <w:tab w:val="num" w:pos="4320"/>
        </w:tabs>
        <w:ind w:left="4320" w:hanging="360"/>
      </w:pPr>
    </w:lvl>
    <w:lvl w:ilvl="6" w:tplc="85D6089A" w:tentative="1">
      <w:start w:val="1"/>
      <w:numFmt w:val="upperRoman"/>
      <w:lvlText w:val="%7."/>
      <w:lvlJc w:val="right"/>
      <w:pPr>
        <w:tabs>
          <w:tab w:val="num" w:pos="5040"/>
        </w:tabs>
        <w:ind w:left="5040" w:hanging="360"/>
      </w:pPr>
    </w:lvl>
    <w:lvl w:ilvl="7" w:tplc="77E04028" w:tentative="1">
      <w:start w:val="1"/>
      <w:numFmt w:val="upperRoman"/>
      <w:lvlText w:val="%8."/>
      <w:lvlJc w:val="right"/>
      <w:pPr>
        <w:tabs>
          <w:tab w:val="num" w:pos="5760"/>
        </w:tabs>
        <w:ind w:left="5760" w:hanging="360"/>
      </w:pPr>
    </w:lvl>
    <w:lvl w:ilvl="8" w:tplc="9D3A30BC" w:tentative="1">
      <w:start w:val="1"/>
      <w:numFmt w:val="upperRoman"/>
      <w:lvlText w:val="%9."/>
      <w:lvlJc w:val="right"/>
      <w:pPr>
        <w:tabs>
          <w:tab w:val="num" w:pos="6480"/>
        </w:tabs>
        <w:ind w:left="6480" w:hanging="360"/>
      </w:pPr>
    </w:lvl>
  </w:abstractNum>
  <w:abstractNum w:abstractNumId="19">
    <w:nsid w:val="6CB23475"/>
    <w:multiLevelType w:val="hybridMultilevel"/>
    <w:tmpl w:val="379CA39C"/>
    <w:lvl w:ilvl="0" w:tplc="FFC604D2">
      <w:start w:val="1"/>
      <w:numFmt w:val="bullet"/>
      <w:lvlText w:val=""/>
      <w:lvlJc w:val="left"/>
      <w:pPr>
        <w:tabs>
          <w:tab w:val="num" w:pos="720"/>
        </w:tabs>
        <w:ind w:left="720" w:hanging="360"/>
      </w:pPr>
      <w:rPr>
        <w:rFonts w:ascii="Wingdings 3" w:hAnsi="Wingdings 3" w:hint="default"/>
      </w:rPr>
    </w:lvl>
    <w:lvl w:ilvl="1" w:tplc="2B746B4C" w:tentative="1">
      <w:start w:val="1"/>
      <w:numFmt w:val="bullet"/>
      <w:lvlText w:val=""/>
      <w:lvlJc w:val="left"/>
      <w:pPr>
        <w:tabs>
          <w:tab w:val="num" w:pos="1440"/>
        </w:tabs>
        <w:ind w:left="1440" w:hanging="360"/>
      </w:pPr>
      <w:rPr>
        <w:rFonts w:ascii="Wingdings 3" w:hAnsi="Wingdings 3" w:hint="default"/>
      </w:rPr>
    </w:lvl>
    <w:lvl w:ilvl="2" w:tplc="B51A35B8" w:tentative="1">
      <w:start w:val="1"/>
      <w:numFmt w:val="bullet"/>
      <w:lvlText w:val=""/>
      <w:lvlJc w:val="left"/>
      <w:pPr>
        <w:tabs>
          <w:tab w:val="num" w:pos="2160"/>
        </w:tabs>
        <w:ind w:left="2160" w:hanging="360"/>
      </w:pPr>
      <w:rPr>
        <w:rFonts w:ascii="Wingdings 3" w:hAnsi="Wingdings 3" w:hint="default"/>
      </w:rPr>
    </w:lvl>
    <w:lvl w:ilvl="3" w:tplc="33387B7E" w:tentative="1">
      <w:start w:val="1"/>
      <w:numFmt w:val="bullet"/>
      <w:lvlText w:val=""/>
      <w:lvlJc w:val="left"/>
      <w:pPr>
        <w:tabs>
          <w:tab w:val="num" w:pos="2880"/>
        </w:tabs>
        <w:ind w:left="2880" w:hanging="360"/>
      </w:pPr>
      <w:rPr>
        <w:rFonts w:ascii="Wingdings 3" w:hAnsi="Wingdings 3" w:hint="default"/>
      </w:rPr>
    </w:lvl>
    <w:lvl w:ilvl="4" w:tplc="02A24608" w:tentative="1">
      <w:start w:val="1"/>
      <w:numFmt w:val="bullet"/>
      <w:lvlText w:val=""/>
      <w:lvlJc w:val="left"/>
      <w:pPr>
        <w:tabs>
          <w:tab w:val="num" w:pos="3600"/>
        </w:tabs>
        <w:ind w:left="3600" w:hanging="360"/>
      </w:pPr>
      <w:rPr>
        <w:rFonts w:ascii="Wingdings 3" w:hAnsi="Wingdings 3" w:hint="default"/>
      </w:rPr>
    </w:lvl>
    <w:lvl w:ilvl="5" w:tplc="FE2A18C2" w:tentative="1">
      <w:start w:val="1"/>
      <w:numFmt w:val="bullet"/>
      <w:lvlText w:val=""/>
      <w:lvlJc w:val="left"/>
      <w:pPr>
        <w:tabs>
          <w:tab w:val="num" w:pos="4320"/>
        </w:tabs>
        <w:ind w:left="4320" w:hanging="360"/>
      </w:pPr>
      <w:rPr>
        <w:rFonts w:ascii="Wingdings 3" w:hAnsi="Wingdings 3" w:hint="default"/>
      </w:rPr>
    </w:lvl>
    <w:lvl w:ilvl="6" w:tplc="14C40586" w:tentative="1">
      <w:start w:val="1"/>
      <w:numFmt w:val="bullet"/>
      <w:lvlText w:val=""/>
      <w:lvlJc w:val="left"/>
      <w:pPr>
        <w:tabs>
          <w:tab w:val="num" w:pos="5040"/>
        </w:tabs>
        <w:ind w:left="5040" w:hanging="360"/>
      </w:pPr>
      <w:rPr>
        <w:rFonts w:ascii="Wingdings 3" w:hAnsi="Wingdings 3" w:hint="default"/>
      </w:rPr>
    </w:lvl>
    <w:lvl w:ilvl="7" w:tplc="6088B578" w:tentative="1">
      <w:start w:val="1"/>
      <w:numFmt w:val="bullet"/>
      <w:lvlText w:val=""/>
      <w:lvlJc w:val="left"/>
      <w:pPr>
        <w:tabs>
          <w:tab w:val="num" w:pos="5760"/>
        </w:tabs>
        <w:ind w:left="5760" w:hanging="360"/>
      </w:pPr>
      <w:rPr>
        <w:rFonts w:ascii="Wingdings 3" w:hAnsi="Wingdings 3" w:hint="default"/>
      </w:rPr>
    </w:lvl>
    <w:lvl w:ilvl="8" w:tplc="62B65E40" w:tentative="1">
      <w:start w:val="1"/>
      <w:numFmt w:val="bullet"/>
      <w:lvlText w:val=""/>
      <w:lvlJc w:val="left"/>
      <w:pPr>
        <w:tabs>
          <w:tab w:val="num" w:pos="6480"/>
        </w:tabs>
        <w:ind w:left="6480" w:hanging="360"/>
      </w:pPr>
      <w:rPr>
        <w:rFonts w:ascii="Wingdings 3" w:hAnsi="Wingdings 3" w:hint="default"/>
      </w:rPr>
    </w:lvl>
  </w:abstractNum>
  <w:abstractNum w:abstractNumId="20">
    <w:nsid w:val="7D5F7476"/>
    <w:multiLevelType w:val="hybridMultilevel"/>
    <w:tmpl w:val="77CE8C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8"/>
  </w:num>
  <w:num w:numId="3">
    <w:abstractNumId w:val="9"/>
  </w:num>
  <w:num w:numId="4">
    <w:abstractNumId w:val="1"/>
  </w:num>
  <w:num w:numId="5">
    <w:abstractNumId w:val="6"/>
  </w:num>
  <w:num w:numId="6">
    <w:abstractNumId w:val="3"/>
  </w:num>
  <w:num w:numId="7">
    <w:abstractNumId w:val="2"/>
  </w:num>
  <w:num w:numId="8">
    <w:abstractNumId w:val="19"/>
  </w:num>
  <w:num w:numId="9">
    <w:abstractNumId w:val="5"/>
  </w:num>
  <w:num w:numId="10">
    <w:abstractNumId w:val="7"/>
  </w:num>
  <w:num w:numId="11">
    <w:abstractNumId w:val="17"/>
  </w:num>
  <w:num w:numId="12">
    <w:abstractNumId w:val="0"/>
  </w:num>
  <w:num w:numId="13">
    <w:abstractNumId w:val="13"/>
  </w:num>
  <w:num w:numId="14">
    <w:abstractNumId w:val="16"/>
  </w:num>
  <w:num w:numId="15">
    <w:abstractNumId w:val="14"/>
  </w:num>
  <w:num w:numId="16">
    <w:abstractNumId w:val="11"/>
  </w:num>
  <w:num w:numId="17">
    <w:abstractNumId w:val="20"/>
  </w:num>
  <w:num w:numId="18">
    <w:abstractNumId w:val="8"/>
  </w:num>
  <w:num w:numId="19">
    <w:abstractNumId w:val="15"/>
  </w:num>
  <w:num w:numId="20">
    <w:abstractNumId w:val="1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4"/>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A0AE0"/>
    <w:rsid w:val="00014B0C"/>
    <w:rsid w:val="00025605"/>
    <w:rsid w:val="0002780C"/>
    <w:rsid w:val="00030A55"/>
    <w:rsid w:val="00032314"/>
    <w:rsid w:val="00035270"/>
    <w:rsid w:val="00045BA7"/>
    <w:rsid w:val="0005364A"/>
    <w:rsid w:val="00057E91"/>
    <w:rsid w:val="00060815"/>
    <w:rsid w:val="00061F9F"/>
    <w:rsid w:val="000626BB"/>
    <w:rsid w:val="00080335"/>
    <w:rsid w:val="0008247C"/>
    <w:rsid w:val="00084E0D"/>
    <w:rsid w:val="000873C0"/>
    <w:rsid w:val="0008745D"/>
    <w:rsid w:val="00092086"/>
    <w:rsid w:val="00093AF7"/>
    <w:rsid w:val="000A33A9"/>
    <w:rsid w:val="000A43EE"/>
    <w:rsid w:val="000A5FFB"/>
    <w:rsid w:val="000B25E0"/>
    <w:rsid w:val="000B39A4"/>
    <w:rsid w:val="000C1110"/>
    <w:rsid w:val="000D1B4B"/>
    <w:rsid w:val="000D2EDF"/>
    <w:rsid w:val="000E46AE"/>
    <w:rsid w:val="000E6CE7"/>
    <w:rsid w:val="000E7197"/>
    <w:rsid w:val="000F27A0"/>
    <w:rsid w:val="000F4CF6"/>
    <w:rsid w:val="000F4E63"/>
    <w:rsid w:val="00100DA9"/>
    <w:rsid w:val="00107187"/>
    <w:rsid w:val="00110C7A"/>
    <w:rsid w:val="00112AAE"/>
    <w:rsid w:val="00124746"/>
    <w:rsid w:val="00127A6F"/>
    <w:rsid w:val="00131BDB"/>
    <w:rsid w:val="001354E8"/>
    <w:rsid w:val="00140F10"/>
    <w:rsid w:val="0014429A"/>
    <w:rsid w:val="00166C2E"/>
    <w:rsid w:val="001757CF"/>
    <w:rsid w:val="00180C24"/>
    <w:rsid w:val="00181B8A"/>
    <w:rsid w:val="00181B91"/>
    <w:rsid w:val="00182AFB"/>
    <w:rsid w:val="001870DC"/>
    <w:rsid w:val="00187447"/>
    <w:rsid w:val="001875D4"/>
    <w:rsid w:val="001A37BF"/>
    <w:rsid w:val="001A4360"/>
    <w:rsid w:val="001A66D1"/>
    <w:rsid w:val="001A7712"/>
    <w:rsid w:val="001B1317"/>
    <w:rsid w:val="001C0243"/>
    <w:rsid w:val="001C2185"/>
    <w:rsid w:val="001C323F"/>
    <w:rsid w:val="001E3515"/>
    <w:rsid w:val="001E3596"/>
    <w:rsid w:val="002000A7"/>
    <w:rsid w:val="00207F57"/>
    <w:rsid w:val="002151FB"/>
    <w:rsid w:val="002223B1"/>
    <w:rsid w:val="00245509"/>
    <w:rsid w:val="002514A7"/>
    <w:rsid w:val="00252260"/>
    <w:rsid w:val="00254E8D"/>
    <w:rsid w:val="00255EE5"/>
    <w:rsid w:val="00264C0D"/>
    <w:rsid w:val="002726AB"/>
    <w:rsid w:val="0027416F"/>
    <w:rsid w:val="00277159"/>
    <w:rsid w:val="00280816"/>
    <w:rsid w:val="00280F71"/>
    <w:rsid w:val="00281528"/>
    <w:rsid w:val="0028226D"/>
    <w:rsid w:val="00283609"/>
    <w:rsid w:val="00283991"/>
    <w:rsid w:val="0028545D"/>
    <w:rsid w:val="002938BA"/>
    <w:rsid w:val="002942C6"/>
    <w:rsid w:val="002962D7"/>
    <w:rsid w:val="002972E3"/>
    <w:rsid w:val="002A0191"/>
    <w:rsid w:val="002A17E9"/>
    <w:rsid w:val="002A2385"/>
    <w:rsid w:val="002A411A"/>
    <w:rsid w:val="002A48D8"/>
    <w:rsid w:val="002A785E"/>
    <w:rsid w:val="002B6045"/>
    <w:rsid w:val="002C30B5"/>
    <w:rsid w:val="002D0D0D"/>
    <w:rsid w:val="002E3074"/>
    <w:rsid w:val="002E72F6"/>
    <w:rsid w:val="002F2169"/>
    <w:rsid w:val="0033351C"/>
    <w:rsid w:val="00337684"/>
    <w:rsid w:val="00345B10"/>
    <w:rsid w:val="00345F4B"/>
    <w:rsid w:val="0034688D"/>
    <w:rsid w:val="0035584F"/>
    <w:rsid w:val="00365882"/>
    <w:rsid w:val="00366C76"/>
    <w:rsid w:val="0037119E"/>
    <w:rsid w:val="0037422D"/>
    <w:rsid w:val="003801CA"/>
    <w:rsid w:val="0038622F"/>
    <w:rsid w:val="003869F8"/>
    <w:rsid w:val="00392861"/>
    <w:rsid w:val="003949A5"/>
    <w:rsid w:val="003A2DCA"/>
    <w:rsid w:val="003A6A39"/>
    <w:rsid w:val="003B03AF"/>
    <w:rsid w:val="003B112B"/>
    <w:rsid w:val="003B27EE"/>
    <w:rsid w:val="003B687E"/>
    <w:rsid w:val="003B69F6"/>
    <w:rsid w:val="003C135F"/>
    <w:rsid w:val="003C4CD8"/>
    <w:rsid w:val="003D4097"/>
    <w:rsid w:val="003E0631"/>
    <w:rsid w:val="003E4D04"/>
    <w:rsid w:val="003E7C90"/>
    <w:rsid w:val="003F1245"/>
    <w:rsid w:val="003F351B"/>
    <w:rsid w:val="003F6B1D"/>
    <w:rsid w:val="00411A89"/>
    <w:rsid w:val="004136B6"/>
    <w:rsid w:val="0042297F"/>
    <w:rsid w:val="004230AE"/>
    <w:rsid w:val="00423D7F"/>
    <w:rsid w:val="00433BDF"/>
    <w:rsid w:val="004343E9"/>
    <w:rsid w:val="00436D42"/>
    <w:rsid w:val="0045515D"/>
    <w:rsid w:val="004616A4"/>
    <w:rsid w:val="00470EA0"/>
    <w:rsid w:val="00477BE7"/>
    <w:rsid w:val="00477CB2"/>
    <w:rsid w:val="0048528B"/>
    <w:rsid w:val="00486F83"/>
    <w:rsid w:val="0049104A"/>
    <w:rsid w:val="0049635C"/>
    <w:rsid w:val="00497BAB"/>
    <w:rsid w:val="004A3370"/>
    <w:rsid w:val="004A4EFF"/>
    <w:rsid w:val="004A6932"/>
    <w:rsid w:val="004B2AD0"/>
    <w:rsid w:val="004B72AA"/>
    <w:rsid w:val="004C21AE"/>
    <w:rsid w:val="004C38FD"/>
    <w:rsid w:val="004C4732"/>
    <w:rsid w:val="004C607C"/>
    <w:rsid w:val="004E08B7"/>
    <w:rsid w:val="004F1EB2"/>
    <w:rsid w:val="004F66E4"/>
    <w:rsid w:val="005049AA"/>
    <w:rsid w:val="00505204"/>
    <w:rsid w:val="00530290"/>
    <w:rsid w:val="005316D0"/>
    <w:rsid w:val="0053293D"/>
    <w:rsid w:val="005338DE"/>
    <w:rsid w:val="00540BFE"/>
    <w:rsid w:val="00541886"/>
    <w:rsid w:val="00543561"/>
    <w:rsid w:val="00550BD7"/>
    <w:rsid w:val="005558C5"/>
    <w:rsid w:val="00563547"/>
    <w:rsid w:val="00567952"/>
    <w:rsid w:val="00571AA5"/>
    <w:rsid w:val="00572725"/>
    <w:rsid w:val="00580429"/>
    <w:rsid w:val="00590283"/>
    <w:rsid w:val="0059195B"/>
    <w:rsid w:val="005937AA"/>
    <w:rsid w:val="00593C08"/>
    <w:rsid w:val="00597587"/>
    <w:rsid w:val="005A1FB3"/>
    <w:rsid w:val="005A32C7"/>
    <w:rsid w:val="005A3371"/>
    <w:rsid w:val="005A364C"/>
    <w:rsid w:val="005A630B"/>
    <w:rsid w:val="005B212C"/>
    <w:rsid w:val="005C0725"/>
    <w:rsid w:val="005C2645"/>
    <w:rsid w:val="005C6085"/>
    <w:rsid w:val="005C71B4"/>
    <w:rsid w:val="005C7259"/>
    <w:rsid w:val="005D4249"/>
    <w:rsid w:val="005E4B25"/>
    <w:rsid w:val="005E5A28"/>
    <w:rsid w:val="005E5B4F"/>
    <w:rsid w:val="005F2D8E"/>
    <w:rsid w:val="005F5670"/>
    <w:rsid w:val="005F59AD"/>
    <w:rsid w:val="005F5D91"/>
    <w:rsid w:val="005F6518"/>
    <w:rsid w:val="00602E06"/>
    <w:rsid w:val="0060342F"/>
    <w:rsid w:val="00605BBE"/>
    <w:rsid w:val="006077E6"/>
    <w:rsid w:val="006158AA"/>
    <w:rsid w:val="006171DD"/>
    <w:rsid w:val="00620D3D"/>
    <w:rsid w:val="00621D51"/>
    <w:rsid w:val="00625E3D"/>
    <w:rsid w:val="00647D55"/>
    <w:rsid w:val="00653AF6"/>
    <w:rsid w:val="00676EEC"/>
    <w:rsid w:val="00677274"/>
    <w:rsid w:val="00677CFA"/>
    <w:rsid w:val="00680E9C"/>
    <w:rsid w:val="006855A4"/>
    <w:rsid w:val="00694FD6"/>
    <w:rsid w:val="006971C5"/>
    <w:rsid w:val="00697314"/>
    <w:rsid w:val="006A30F2"/>
    <w:rsid w:val="006A7B38"/>
    <w:rsid w:val="006D1673"/>
    <w:rsid w:val="006D413F"/>
    <w:rsid w:val="006E178E"/>
    <w:rsid w:val="006E51D3"/>
    <w:rsid w:val="006F1421"/>
    <w:rsid w:val="006F1BB0"/>
    <w:rsid w:val="006F4171"/>
    <w:rsid w:val="006F5952"/>
    <w:rsid w:val="0070241E"/>
    <w:rsid w:val="00706BDA"/>
    <w:rsid w:val="007205E1"/>
    <w:rsid w:val="00724FFD"/>
    <w:rsid w:val="0073036C"/>
    <w:rsid w:val="00737E0A"/>
    <w:rsid w:val="0074114A"/>
    <w:rsid w:val="00746FB3"/>
    <w:rsid w:val="0075349B"/>
    <w:rsid w:val="007701A9"/>
    <w:rsid w:val="007735E6"/>
    <w:rsid w:val="00774FF4"/>
    <w:rsid w:val="00781130"/>
    <w:rsid w:val="00781FB0"/>
    <w:rsid w:val="00786AEB"/>
    <w:rsid w:val="007926B6"/>
    <w:rsid w:val="007A49BA"/>
    <w:rsid w:val="007A5A59"/>
    <w:rsid w:val="007C54DE"/>
    <w:rsid w:val="007D1AE2"/>
    <w:rsid w:val="007D353F"/>
    <w:rsid w:val="007E2141"/>
    <w:rsid w:val="007E47C4"/>
    <w:rsid w:val="007E61B0"/>
    <w:rsid w:val="007F12D3"/>
    <w:rsid w:val="00801C48"/>
    <w:rsid w:val="008055A2"/>
    <w:rsid w:val="00814EB6"/>
    <w:rsid w:val="00815C3F"/>
    <w:rsid w:val="008164FD"/>
    <w:rsid w:val="00816938"/>
    <w:rsid w:val="008217A6"/>
    <w:rsid w:val="008275B8"/>
    <w:rsid w:val="00842C5F"/>
    <w:rsid w:val="00843CAA"/>
    <w:rsid w:val="008451F8"/>
    <w:rsid w:val="00850631"/>
    <w:rsid w:val="00853641"/>
    <w:rsid w:val="0086565C"/>
    <w:rsid w:val="008716B3"/>
    <w:rsid w:val="00873267"/>
    <w:rsid w:val="00874941"/>
    <w:rsid w:val="00875CCB"/>
    <w:rsid w:val="00876CC7"/>
    <w:rsid w:val="00885A32"/>
    <w:rsid w:val="0088722D"/>
    <w:rsid w:val="00892668"/>
    <w:rsid w:val="00894A4D"/>
    <w:rsid w:val="008A001B"/>
    <w:rsid w:val="008A1BB0"/>
    <w:rsid w:val="008A4203"/>
    <w:rsid w:val="008A6B4B"/>
    <w:rsid w:val="008B511B"/>
    <w:rsid w:val="008B59A8"/>
    <w:rsid w:val="008B71BA"/>
    <w:rsid w:val="008C22CF"/>
    <w:rsid w:val="008C272B"/>
    <w:rsid w:val="008C4D52"/>
    <w:rsid w:val="008C584E"/>
    <w:rsid w:val="008C6CA6"/>
    <w:rsid w:val="008D224E"/>
    <w:rsid w:val="008E0453"/>
    <w:rsid w:val="008E0537"/>
    <w:rsid w:val="008E5A18"/>
    <w:rsid w:val="008F60FD"/>
    <w:rsid w:val="008F6651"/>
    <w:rsid w:val="009008C2"/>
    <w:rsid w:val="00901378"/>
    <w:rsid w:val="009021D1"/>
    <w:rsid w:val="009028E2"/>
    <w:rsid w:val="0090350D"/>
    <w:rsid w:val="00914497"/>
    <w:rsid w:val="00916F42"/>
    <w:rsid w:val="009249EA"/>
    <w:rsid w:val="00925FB1"/>
    <w:rsid w:val="00933DAB"/>
    <w:rsid w:val="00944E42"/>
    <w:rsid w:val="009463B8"/>
    <w:rsid w:val="00947DC9"/>
    <w:rsid w:val="00950290"/>
    <w:rsid w:val="00952D0E"/>
    <w:rsid w:val="00952D0F"/>
    <w:rsid w:val="00954E78"/>
    <w:rsid w:val="0095651E"/>
    <w:rsid w:val="00956D79"/>
    <w:rsid w:val="00963BF9"/>
    <w:rsid w:val="009647E8"/>
    <w:rsid w:val="00965157"/>
    <w:rsid w:val="0097100E"/>
    <w:rsid w:val="00973894"/>
    <w:rsid w:val="00976F15"/>
    <w:rsid w:val="00992918"/>
    <w:rsid w:val="00993A6D"/>
    <w:rsid w:val="009A07AF"/>
    <w:rsid w:val="009A0AE0"/>
    <w:rsid w:val="009B0F04"/>
    <w:rsid w:val="009B53F0"/>
    <w:rsid w:val="009B73F0"/>
    <w:rsid w:val="009C245D"/>
    <w:rsid w:val="009D0EEF"/>
    <w:rsid w:val="009D4A1C"/>
    <w:rsid w:val="009D4D3A"/>
    <w:rsid w:val="009E211C"/>
    <w:rsid w:val="009E4FBB"/>
    <w:rsid w:val="009E5492"/>
    <w:rsid w:val="009E5515"/>
    <w:rsid w:val="009F17F0"/>
    <w:rsid w:val="009F2812"/>
    <w:rsid w:val="009F38A9"/>
    <w:rsid w:val="009F623C"/>
    <w:rsid w:val="00A05DC7"/>
    <w:rsid w:val="00A1136C"/>
    <w:rsid w:val="00A11441"/>
    <w:rsid w:val="00A11460"/>
    <w:rsid w:val="00A14995"/>
    <w:rsid w:val="00A2495D"/>
    <w:rsid w:val="00A26C92"/>
    <w:rsid w:val="00A2703E"/>
    <w:rsid w:val="00A406D1"/>
    <w:rsid w:val="00A428B5"/>
    <w:rsid w:val="00A4718F"/>
    <w:rsid w:val="00A51A6E"/>
    <w:rsid w:val="00A540EB"/>
    <w:rsid w:val="00A566E9"/>
    <w:rsid w:val="00A61220"/>
    <w:rsid w:val="00A712C8"/>
    <w:rsid w:val="00A71E38"/>
    <w:rsid w:val="00A84DAF"/>
    <w:rsid w:val="00A8612C"/>
    <w:rsid w:val="00A90BC4"/>
    <w:rsid w:val="00A95718"/>
    <w:rsid w:val="00AA6021"/>
    <w:rsid w:val="00AA613F"/>
    <w:rsid w:val="00AB44DF"/>
    <w:rsid w:val="00AC3A2C"/>
    <w:rsid w:val="00AD27D7"/>
    <w:rsid w:val="00AD3A80"/>
    <w:rsid w:val="00AE23F1"/>
    <w:rsid w:val="00AE47AE"/>
    <w:rsid w:val="00AF307A"/>
    <w:rsid w:val="00AF464B"/>
    <w:rsid w:val="00AF586B"/>
    <w:rsid w:val="00AF6E21"/>
    <w:rsid w:val="00AF7655"/>
    <w:rsid w:val="00B179C9"/>
    <w:rsid w:val="00B22A6D"/>
    <w:rsid w:val="00B32F45"/>
    <w:rsid w:val="00B55DC5"/>
    <w:rsid w:val="00B562B8"/>
    <w:rsid w:val="00B61623"/>
    <w:rsid w:val="00B6630D"/>
    <w:rsid w:val="00B746EC"/>
    <w:rsid w:val="00B772BB"/>
    <w:rsid w:val="00B845D0"/>
    <w:rsid w:val="00B94BFE"/>
    <w:rsid w:val="00B95A4D"/>
    <w:rsid w:val="00BA5989"/>
    <w:rsid w:val="00BB3DD5"/>
    <w:rsid w:val="00BB7FF5"/>
    <w:rsid w:val="00BC03BD"/>
    <w:rsid w:val="00BC363F"/>
    <w:rsid w:val="00BC78B7"/>
    <w:rsid w:val="00BF06B7"/>
    <w:rsid w:val="00BF2E3F"/>
    <w:rsid w:val="00BF59EB"/>
    <w:rsid w:val="00C125D0"/>
    <w:rsid w:val="00C143E2"/>
    <w:rsid w:val="00C2047E"/>
    <w:rsid w:val="00C32DA3"/>
    <w:rsid w:val="00C35CB1"/>
    <w:rsid w:val="00C41CE0"/>
    <w:rsid w:val="00C472D2"/>
    <w:rsid w:val="00C50E53"/>
    <w:rsid w:val="00C5314B"/>
    <w:rsid w:val="00C622A1"/>
    <w:rsid w:val="00C6530D"/>
    <w:rsid w:val="00C75AB5"/>
    <w:rsid w:val="00C81A52"/>
    <w:rsid w:val="00C97EF1"/>
    <w:rsid w:val="00CA18CC"/>
    <w:rsid w:val="00CA5248"/>
    <w:rsid w:val="00CB1412"/>
    <w:rsid w:val="00CB4DB9"/>
    <w:rsid w:val="00CB4E02"/>
    <w:rsid w:val="00CC1FD8"/>
    <w:rsid w:val="00CD18BD"/>
    <w:rsid w:val="00CD2857"/>
    <w:rsid w:val="00CF6B21"/>
    <w:rsid w:val="00D01517"/>
    <w:rsid w:val="00D079A6"/>
    <w:rsid w:val="00D14364"/>
    <w:rsid w:val="00D16F81"/>
    <w:rsid w:val="00D233D8"/>
    <w:rsid w:val="00D23BCB"/>
    <w:rsid w:val="00D2403F"/>
    <w:rsid w:val="00D2715A"/>
    <w:rsid w:val="00D32048"/>
    <w:rsid w:val="00D35149"/>
    <w:rsid w:val="00D35AF0"/>
    <w:rsid w:val="00D35D54"/>
    <w:rsid w:val="00D40494"/>
    <w:rsid w:val="00D50BAB"/>
    <w:rsid w:val="00D50C7D"/>
    <w:rsid w:val="00D55959"/>
    <w:rsid w:val="00D62D9A"/>
    <w:rsid w:val="00D6481F"/>
    <w:rsid w:val="00D64900"/>
    <w:rsid w:val="00D65042"/>
    <w:rsid w:val="00D65D14"/>
    <w:rsid w:val="00D700C1"/>
    <w:rsid w:val="00D73663"/>
    <w:rsid w:val="00D91F5D"/>
    <w:rsid w:val="00D94834"/>
    <w:rsid w:val="00DB5BD3"/>
    <w:rsid w:val="00DB77CE"/>
    <w:rsid w:val="00DC500A"/>
    <w:rsid w:val="00DC6FB1"/>
    <w:rsid w:val="00DD4C28"/>
    <w:rsid w:val="00DD7CFF"/>
    <w:rsid w:val="00DE7287"/>
    <w:rsid w:val="00DF7613"/>
    <w:rsid w:val="00E01B0C"/>
    <w:rsid w:val="00E07AB2"/>
    <w:rsid w:val="00E25E18"/>
    <w:rsid w:val="00E30274"/>
    <w:rsid w:val="00E33EBA"/>
    <w:rsid w:val="00E3437C"/>
    <w:rsid w:val="00E3565F"/>
    <w:rsid w:val="00E44639"/>
    <w:rsid w:val="00E46691"/>
    <w:rsid w:val="00E47EAB"/>
    <w:rsid w:val="00E50451"/>
    <w:rsid w:val="00E72DF3"/>
    <w:rsid w:val="00E77862"/>
    <w:rsid w:val="00E7792C"/>
    <w:rsid w:val="00E80C91"/>
    <w:rsid w:val="00E8193B"/>
    <w:rsid w:val="00E83E60"/>
    <w:rsid w:val="00E86F60"/>
    <w:rsid w:val="00E91535"/>
    <w:rsid w:val="00E95636"/>
    <w:rsid w:val="00E97C5F"/>
    <w:rsid w:val="00EB1DF0"/>
    <w:rsid w:val="00EB2469"/>
    <w:rsid w:val="00EB26E8"/>
    <w:rsid w:val="00EB29EC"/>
    <w:rsid w:val="00ED64D0"/>
    <w:rsid w:val="00EE674C"/>
    <w:rsid w:val="00EE7B81"/>
    <w:rsid w:val="00EF6062"/>
    <w:rsid w:val="00F106BE"/>
    <w:rsid w:val="00F23E97"/>
    <w:rsid w:val="00F33077"/>
    <w:rsid w:val="00F42B98"/>
    <w:rsid w:val="00F47140"/>
    <w:rsid w:val="00F55A46"/>
    <w:rsid w:val="00F57B0B"/>
    <w:rsid w:val="00F71191"/>
    <w:rsid w:val="00F7174B"/>
    <w:rsid w:val="00F71A27"/>
    <w:rsid w:val="00F8042E"/>
    <w:rsid w:val="00F9217E"/>
    <w:rsid w:val="00FA2887"/>
    <w:rsid w:val="00FA2956"/>
    <w:rsid w:val="00FB1CB5"/>
    <w:rsid w:val="00FB6487"/>
    <w:rsid w:val="00FB6BAD"/>
    <w:rsid w:val="00FC7FB8"/>
    <w:rsid w:val="00FE1AC7"/>
    <w:rsid w:val="00FE2472"/>
    <w:rsid w:val="00FE5124"/>
    <w:rsid w:val="00FF337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22D"/>
    <w:rPr>
      <w:sz w:val="24"/>
      <w:szCs w:val="24"/>
      <w:lang w:val="es-ES" w:eastAsia="es-ES"/>
    </w:rPr>
  </w:style>
  <w:style w:type="paragraph" w:styleId="Ttulo1">
    <w:name w:val="heading 1"/>
    <w:basedOn w:val="Normal"/>
    <w:next w:val="Normal"/>
    <w:link w:val="Ttulo1Car"/>
    <w:qFormat/>
    <w:rsid w:val="00965157"/>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901378"/>
    <w:pPr>
      <w:keepNext/>
      <w:keepLines/>
      <w:spacing w:before="200" w:line="276" w:lineRule="auto"/>
      <w:outlineLvl w:val="1"/>
    </w:pPr>
    <w:rPr>
      <w:rFonts w:ascii="Cambria" w:hAnsi="Cambria"/>
      <w:b/>
      <w:bCs/>
      <w:color w:val="4F81BD"/>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35"/>
    <w:qFormat/>
    <w:rsid w:val="009028E2"/>
    <w:rPr>
      <w:b/>
      <w:bCs/>
      <w:sz w:val="20"/>
      <w:szCs w:val="20"/>
    </w:rPr>
  </w:style>
  <w:style w:type="paragraph" w:styleId="Tabladeilustraciones">
    <w:name w:val="table of figures"/>
    <w:basedOn w:val="Normal"/>
    <w:next w:val="Normal"/>
    <w:semiHidden/>
    <w:rsid w:val="00DD4C28"/>
  </w:style>
  <w:style w:type="paragraph" w:styleId="ndice1">
    <w:name w:val="index 1"/>
    <w:basedOn w:val="Normal"/>
    <w:next w:val="Normal"/>
    <w:autoRedefine/>
    <w:semiHidden/>
    <w:rsid w:val="00965157"/>
    <w:pPr>
      <w:ind w:left="240" w:hanging="240"/>
    </w:pPr>
  </w:style>
  <w:style w:type="character" w:styleId="Hipervnculo">
    <w:name w:val="Hyperlink"/>
    <w:basedOn w:val="Fuentedeprrafopredeter"/>
    <w:uiPriority w:val="99"/>
    <w:rsid w:val="00DD4C28"/>
    <w:rPr>
      <w:color w:val="0000FF"/>
      <w:u w:val="single"/>
    </w:rPr>
  </w:style>
  <w:style w:type="paragraph" w:styleId="TDC1">
    <w:name w:val="toc 1"/>
    <w:basedOn w:val="Normal"/>
    <w:next w:val="Normal"/>
    <w:autoRedefine/>
    <w:uiPriority w:val="39"/>
    <w:rsid w:val="008A4203"/>
    <w:pPr>
      <w:tabs>
        <w:tab w:val="right" w:leader="dot" w:pos="8494"/>
      </w:tabs>
      <w:spacing w:before="120"/>
    </w:pPr>
    <w:rPr>
      <w:rFonts w:ascii="Calibri" w:hAnsi="Calibri" w:cs="Arial"/>
      <w:bCs/>
      <w:iCs/>
      <w:noProof/>
      <w:sz w:val="28"/>
      <w:szCs w:val="28"/>
      <w:lang w:val="en-GB"/>
    </w:rPr>
  </w:style>
  <w:style w:type="paragraph" w:styleId="TDC2">
    <w:name w:val="toc 2"/>
    <w:basedOn w:val="Normal"/>
    <w:next w:val="Normal"/>
    <w:autoRedefine/>
    <w:uiPriority w:val="39"/>
    <w:rsid w:val="00DD4C28"/>
    <w:pPr>
      <w:spacing w:before="120"/>
      <w:ind w:left="240"/>
    </w:pPr>
    <w:rPr>
      <w:b/>
      <w:bCs/>
      <w:sz w:val="22"/>
      <w:szCs w:val="22"/>
    </w:rPr>
  </w:style>
  <w:style w:type="paragraph" w:styleId="TDC3">
    <w:name w:val="toc 3"/>
    <w:basedOn w:val="Normal"/>
    <w:next w:val="Normal"/>
    <w:autoRedefine/>
    <w:semiHidden/>
    <w:rsid w:val="00DD4C28"/>
    <w:pPr>
      <w:ind w:left="480"/>
    </w:pPr>
    <w:rPr>
      <w:sz w:val="20"/>
      <w:szCs w:val="20"/>
    </w:rPr>
  </w:style>
  <w:style w:type="paragraph" w:styleId="TDC4">
    <w:name w:val="toc 4"/>
    <w:basedOn w:val="Normal"/>
    <w:next w:val="Normal"/>
    <w:autoRedefine/>
    <w:semiHidden/>
    <w:rsid w:val="00DD4C28"/>
    <w:pPr>
      <w:ind w:left="720"/>
    </w:pPr>
    <w:rPr>
      <w:sz w:val="20"/>
      <w:szCs w:val="20"/>
    </w:rPr>
  </w:style>
  <w:style w:type="paragraph" w:styleId="TDC5">
    <w:name w:val="toc 5"/>
    <w:basedOn w:val="Normal"/>
    <w:next w:val="Normal"/>
    <w:autoRedefine/>
    <w:semiHidden/>
    <w:rsid w:val="00DD4C28"/>
    <w:pPr>
      <w:ind w:left="960"/>
    </w:pPr>
    <w:rPr>
      <w:sz w:val="20"/>
      <w:szCs w:val="20"/>
    </w:rPr>
  </w:style>
  <w:style w:type="paragraph" w:styleId="TDC6">
    <w:name w:val="toc 6"/>
    <w:basedOn w:val="Normal"/>
    <w:next w:val="Normal"/>
    <w:autoRedefine/>
    <w:semiHidden/>
    <w:rsid w:val="00DD4C28"/>
    <w:pPr>
      <w:ind w:left="1200"/>
    </w:pPr>
    <w:rPr>
      <w:sz w:val="20"/>
      <w:szCs w:val="20"/>
    </w:rPr>
  </w:style>
  <w:style w:type="paragraph" w:styleId="TDC7">
    <w:name w:val="toc 7"/>
    <w:basedOn w:val="Normal"/>
    <w:next w:val="Normal"/>
    <w:autoRedefine/>
    <w:semiHidden/>
    <w:rsid w:val="00DD4C28"/>
    <w:pPr>
      <w:ind w:left="1440"/>
    </w:pPr>
    <w:rPr>
      <w:sz w:val="20"/>
      <w:szCs w:val="20"/>
    </w:rPr>
  </w:style>
  <w:style w:type="paragraph" w:styleId="TDC8">
    <w:name w:val="toc 8"/>
    <w:basedOn w:val="Normal"/>
    <w:next w:val="Normal"/>
    <w:autoRedefine/>
    <w:semiHidden/>
    <w:rsid w:val="00DD4C28"/>
    <w:pPr>
      <w:ind w:left="1680"/>
    </w:pPr>
    <w:rPr>
      <w:sz w:val="20"/>
      <w:szCs w:val="20"/>
    </w:rPr>
  </w:style>
  <w:style w:type="paragraph" w:styleId="TDC9">
    <w:name w:val="toc 9"/>
    <w:basedOn w:val="Normal"/>
    <w:next w:val="Normal"/>
    <w:autoRedefine/>
    <w:semiHidden/>
    <w:rsid w:val="00DD4C28"/>
    <w:pPr>
      <w:ind w:left="1920"/>
    </w:pPr>
    <w:rPr>
      <w:sz w:val="20"/>
      <w:szCs w:val="20"/>
    </w:rPr>
  </w:style>
  <w:style w:type="character" w:customStyle="1" w:styleId="Ttulo1Car">
    <w:name w:val="Título 1 Car"/>
    <w:basedOn w:val="Fuentedeprrafopredeter"/>
    <w:link w:val="Ttulo1"/>
    <w:rsid w:val="00280F71"/>
    <w:rPr>
      <w:rFonts w:ascii="Arial" w:hAnsi="Arial" w:cs="Arial"/>
      <w:b/>
      <w:bCs/>
      <w:kern w:val="32"/>
      <w:sz w:val="32"/>
      <w:szCs w:val="32"/>
      <w:lang w:val="es-ES" w:eastAsia="es-ES" w:bidi="ar-SA"/>
    </w:rPr>
  </w:style>
  <w:style w:type="paragraph" w:styleId="Sinespaciado">
    <w:name w:val="No Spacing"/>
    <w:link w:val="SinespaciadoCar"/>
    <w:uiPriority w:val="1"/>
    <w:qFormat/>
    <w:rsid w:val="0088722D"/>
    <w:rPr>
      <w:sz w:val="24"/>
      <w:szCs w:val="24"/>
      <w:lang w:val="es-ES" w:eastAsia="es-ES"/>
    </w:rPr>
  </w:style>
  <w:style w:type="paragraph" w:styleId="Encabezado">
    <w:name w:val="header"/>
    <w:basedOn w:val="Normal"/>
    <w:link w:val="EncabezadoCar"/>
    <w:uiPriority w:val="99"/>
    <w:rsid w:val="00992918"/>
    <w:pPr>
      <w:tabs>
        <w:tab w:val="center" w:pos="4252"/>
        <w:tab w:val="right" w:pos="8504"/>
      </w:tabs>
    </w:pPr>
  </w:style>
  <w:style w:type="character" w:customStyle="1" w:styleId="EncabezadoCar">
    <w:name w:val="Encabezado Car"/>
    <w:basedOn w:val="Fuentedeprrafopredeter"/>
    <w:link w:val="Encabezado"/>
    <w:uiPriority w:val="99"/>
    <w:rsid w:val="00992918"/>
    <w:rPr>
      <w:sz w:val="24"/>
      <w:szCs w:val="24"/>
    </w:rPr>
  </w:style>
  <w:style w:type="paragraph" w:styleId="Piedepgina">
    <w:name w:val="footer"/>
    <w:basedOn w:val="Normal"/>
    <w:link w:val="PiedepginaCar"/>
    <w:uiPriority w:val="99"/>
    <w:rsid w:val="00992918"/>
    <w:pPr>
      <w:tabs>
        <w:tab w:val="center" w:pos="4252"/>
        <w:tab w:val="right" w:pos="8504"/>
      </w:tabs>
    </w:pPr>
  </w:style>
  <w:style w:type="character" w:customStyle="1" w:styleId="PiedepginaCar">
    <w:name w:val="Pie de página Car"/>
    <w:basedOn w:val="Fuentedeprrafopredeter"/>
    <w:link w:val="Piedepgina"/>
    <w:uiPriority w:val="99"/>
    <w:rsid w:val="00992918"/>
    <w:rPr>
      <w:sz w:val="24"/>
      <w:szCs w:val="24"/>
    </w:rPr>
  </w:style>
  <w:style w:type="character" w:customStyle="1" w:styleId="Ttulo2Car">
    <w:name w:val="Título 2 Car"/>
    <w:basedOn w:val="Fuentedeprrafopredeter"/>
    <w:link w:val="Ttulo2"/>
    <w:uiPriority w:val="9"/>
    <w:rsid w:val="00901378"/>
    <w:rPr>
      <w:rFonts w:ascii="Cambria" w:eastAsia="Times New Roman" w:hAnsi="Cambria" w:cs="Times New Roman"/>
      <w:b/>
      <w:bCs/>
      <w:color w:val="4F81BD"/>
      <w:sz w:val="26"/>
      <w:szCs w:val="26"/>
      <w:lang w:eastAsia="en-US"/>
    </w:rPr>
  </w:style>
  <w:style w:type="paragraph" w:styleId="Textonotapie">
    <w:name w:val="footnote text"/>
    <w:basedOn w:val="Normal"/>
    <w:link w:val="TextonotapieCar"/>
    <w:rsid w:val="00894A4D"/>
    <w:rPr>
      <w:sz w:val="20"/>
      <w:szCs w:val="20"/>
    </w:rPr>
  </w:style>
  <w:style w:type="character" w:customStyle="1" w:styleId="TextonotapieCar">
    <w:name w:val="Texto nota pie Car"/>
    <w:basedOn w:val="Fuentedeprrafopredeter"/>
    <w:link w:val="Textonotapie"/>
    <w:rsid w:val="00894A4D"/>
  </w:style>
  <w:style w:type="character" w:styleId="Refdenotaalpie">
    <w:name w:val="footnote reference"/>
    <w:basedOn w:val="Fuentedeprrafopredeter"/>
    <w:rsid w:val="00894A4D"/>
    <w:rPr>
      <w:vertAlign w:val="superscript"/>
    </w:rPr>
  </w:style>
  <w:style w:type="character" w:styleId="nfasisintenso">
    <w:name w:val="Intense Emphasis"/>
    <w:basedOn w:val="Fuentedeprrafopredeter"/>
    <w:uiPriority w:val="21"/>
    <w:qFormat/>
    <w:rsid w:val="00E77862"/>
    <w:rPr>
      <w:b/>
      <w:bCs/>
      <w:i/>
      <w:iCs/>
      <w:color w:val="4F81BD"/>
    </w:rPr>
  </w:style>
  <w:style w:type="character" w:styleId="nfasissutil">
    <w:name w:val="Subtle Emphasis"/>
    <w:basedOn w:val="Fuentedeprrafopredeter"/>
    <w:uiPriority w:val="19"/>
    <w:qFormat/>
    <w:rsid w:val="00187447"/>
    <w:rPr>
      <w:i/>
      <w:iCs/>
      <w:color w:val="808080"/>
    </w:rPr>
  </w:style>
  <w:style w:type="paragraph" w:styleId="Ttulo">
    <w:name w:val="Title"/>
    <w:basedOn w:val="Normal"/>
    <w:next w:val="Normal"/>
    <w:link w:val="TtuloCar"/>
    <w:qFormat/>
    <w:rsid w:val="00187447"/>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187447"/>
    <w:rPr>
      <w:rFonts w:ascii="Cambria" w:eastAsia="Times New Roman" w:hAnsi="Cambria" w:cs="Times New Roman"/>
      <w:b/>
      <w:bCs/>
      <w:kern w:val="28"/>
      <w:sz w:val="32"/>
      <w:szCs w:val="32"/>
    </w:rPr>
  </w:style>
  <w:style w:type="paragraph" w:customStyle="1" w:styleId="Graciela1">
    <w:name w:val="Graciela1"/>
    <w:basedOn w:val="Ttulo1"/>
    <w:link w:val="Graciela1Car"/>
    <w:qFormat/>
    <w:rsid w:val="00187447"/>
    <w:pPr>
      <w:shd w:val="clear" w:color="002060" w:fill="17365D"/>
    </w:pPr>
    <w:rPr>
      <w:color w:val="C6D9F1"/>
      <w:lang w:val="en-US"/>
    </w:rPr>
  </w:style>
  <w:style w:type="paragraph" w:customStyle="1" w:styleId="Sinespaciado2">
    <w:name w:val="Sin espaciado2"/>
    <w:basedOn w:val="Normal"/>
    <w:link w:val="NoSpacingChar1"/>
    <w:uiPriority w:val="99"/>
    <w:rsid w:val="0028226D"/>
    <w:rPr>
      <w:rFonts w:ascii="Calibri" w:eastAsia="SimSun" w:hAnsi="Calibri"/>
      <w:sz w:val="20"/>
      <w:szCs w:val="20"/>
      <w:lang w:val="en-US" w:eastAsia="en-US"/>
    </w:rPr>
  </w:style>
  <w:style w:type="character" w:customStyle="1" w:styleId="Graciela1Car">
    <w:name w:val="Graciela1 Car"/>
    <w:basedOn w:val="Ttulo1Car"/>
    <w:link w:val="Graciela1"/>
    <w:rsid w:val="00187447"/>
    <w:rPr>
      <w:color w:val="C6D9F1"/>
      <w:shd w:val="clear" w:color="002060" w:fill="17365D"/>
      <w:lang w:val="en-US"/>
    </w:rPr>
  </w:style>
  <w:style w:type="character" w:customStyle="1" w:styleId="NoSpacingChar1">
    <w:name w:val="No Spacing Char1"/>
    <w:basedOn w:val="Fuentedeprrafopredeter"/>
    <w:link w:val="Sinespaciado2"/>
    <w:uiPriority w:val="99"/>
    <w:locked/>
    <w:rsid w:val="0028226D"/>
    <w:rPr>
      <w:rFonts w:ascii="Calibri" w:eastAsia="SimSun" w:hAnsi="Calibri"/>
      <w:lang w:val="en-US" w:eastAsia="en-US"/>
    </w:rPr>
  </w:style>
  <w:style w:type="character" w:customStyle="1" w:styleId="SinespaciadoCar">
    <w:name w:val="Sin espaciado Car"/>
    <w:basedOn w:val="Fuentedeprrafopredeter"/>
    <w:link w:val="Sinespaciado"/>
    <w:uiPriority w:val="1"/>
    <w:rsid w:val="001B1317"/>
    <w:rPr>
      <w:sz w:val="24"/>
      <w:szCs w:val="24"/>
      <w:lang w:val="es-ES" w:eastAsia="es-ES" w:bidi="ar-SA"/>
    </w:rPr>
  </w:style>
  <w:style w:type="paragraph" w:styleId="Textodeglobo">
    <w:name w:val="Balloon Text"/>
    <w:basedOn w:val="Normal"/>
    <w:link w:val="TextodegloboCar"/>
    <w:rsid w:val="001B1317"/>
    <w:rPr>
      <w:rFonts w:ascii="Tahoma" w:hAnsi="Tahoma" w:cs="Tahoma"/>
      <w:sz w:val="16"/>
      <w:szCs w:val="16"/>
    </w:rPr>
  </w:style>
  <w:style w:type="character" w:customStyle="1" w:styleId="TextodegloboCar">
    <w:name w:val="Texto de globo Car"/>
    <w:basedOn w:val="Fuentedeprrafopredeter"/>
    <w:link w:val="Textodeglobo"/>
    <w:rsid w:val="001B1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75827">
      <w:bodyDiv w:val="1"/>
      <w:marLeft w:val="0"/>
      <w:marRight w:val="0"/>
      <w:marTop w:val="0"/>
      <w:marBottom w:val="0"/>
      <w:divBdr>
        <w:top w:val="none" w:sz="0" w:space="0" w:color="auto"/>
        <w:left w:val="none" w:sz="0" w:space="0" w:color="auto"/>
        <w:bottom w:val="none" w:sz="0" w:space="0" w:color="auto"/>
        <w:right w:val="none" w:sz="0" w:space="0" w:color="auto"/>
      </w:divBdr>
    </w:div>
    <w:div w:id="812946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403">
          <w:marLeft w:val="0"/>
          <w:marRight w:val="0"/>
          <w:marTop w:val="0"/>
          <w:marBottom w:val="0"/>
          <w:divBdr>
            <w:top w:val="none" w:sz="0" w:space="0" w:color="auto"/>
            <w:left w:val="none" w:sz="0" w:space="0" w:color="auto"/>
            <w:bottom w:val="none" w:sz="0" w:space="0" w:color="auto"/>
            <w:right w:val="none" w:sz="0" w:space="0" w:color="auto"/>
          </w:divBdr>
        </w:div>
      </w:divsChild>
    </w:div>
    <w:div w:id="106124334">
      <w:bodyDiv w:val="1"/>
      <w:marLeft w:val="0"/>
      <w:marRight w:val="0"/>
      <w:marTop w:val="0"/>
      <w:marBottom w:val="0"/>
      <w:divBdr>
        <w:top w:val="none" w:sz="0" w:space="0" w:color="auto"/>
        <w:left w:val="none" w:sz="0" w:space="0" w:color="auto"/>
        <w:bottom w:val="none" w:sz="0" w:space="0" w:color="auto"/>
        <w:right w:val="none" w:sz="0" w:space="0" w:color="auto"/>
      </w:divBdr>
    </w:div>
    <w:div w:id="128862246">
      <w:bodyDiv w:val="1"/>
      <w:marLeft w:val="0"/>
      <w:marRight w:val="0"/>
      <w:marTop w:val="0"/>
      <w:marBottom w:val="0"/>
      <w:divBdr>
        <w:top w:val="none" w:sz="0" w:space="0" w:color="auto"/>
        <w:left w:val="none" w:sz="0" w:space="0" w:color="auto"/>
        <w:bottom w:val="none" w:sz="0" w:space="0" w:color="auto"/>
        <w:right w:val="none" w:sz="0" w:space="0" w:color="auto"/>
      </w:divBdr>
    </w:div>
    <w:div w:id="289475763">
      <w:bodyDiv w:val="1"/>
      <w:marLeft w:val="0"/>
      <w:marRight w:val="0"/>
      <w:marTop w:val="0"/>
      <w:marBottom w:val="0"/>
      <w:divBdr>
        <w:top w:val="none" w:sz="0" w:space="0" w:color="auto"/>
        <w:left w:val="none" w:sz="0" w:space="0" w:color="auto"/>
        <w:bottom w:val="none" w:sz="0" w:space="0" w:color="auto"/>
        <w:right w:val="none" w:sz="0" w:space="0" w:color="auto"/>
      </w:divBdr>
      <w:divsChild>
        <w:div w:id="596140469">
          <w:marLeft w:val="0"/>
          <w:marRight w:val="0"/>
          <w:marTop w:val="0"/>
          <w:marBottom w:val="0"/>
          <w:divBdr>
            <w:top w:val="none" w:sz="0" w:space="0" w:color="auto"/>
            <w:left w:val="none" w:sz="0" w:space="0" w:color="auto"/>
            <w:bottom w:val="none" w:sz="0" w:space="0" w:color="auto"/>
            <w:right w:val="none" w:sz="0" w:space="0" w:color="auto"/>
          </w:divBdr>
          <w:divsChild>
            <w:div w:id="390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7563">
      <w:bodyDiv w:val="1"/>
      <w:marLeft w:val="0"/>
      <w:marRight w:val="0"/>
      <w:marTop w:val="0"/>
      <w:marBottom w:val="0"/>
      <w:divBdr>
        <w:top w:val="none" w:sz="0" w:space="0" w:color="auto"/>
        <w:left w:val="none" w:sz="0" w:space="0" w:color="auto"/>
        <w:bottom w:val="none" w:sz="0" w:space="0" w:color="auto"/>
        <w:right w:val="none" w:sz="0" w:space="0" w:color="auto"/>
      </w:divBdr>
    </w:div>
    <w:div w:id="443886296">
      <w:bodyDiv w:val="1"/>
      <w:marLeft w:val="0"/>
      <w:marRight w:val="0"/>
      <w:marTop w:val="0"/>
      <w:marBottom w:val="0"/>
      <w:divBdr>
        <w:top w:val="none" w:sz="0" w:space="0" w:color="auto"/>
        <w:left w:val="none" w:sz="0" w:space="0" w:color="auto"/>
        <w:bottom w:val="none" w:sz="0" w:space="0" w:color="auto"/>
        <w:right w:val="none" w:sz="0" w:space="0" w:color="auto"/>
      </w:divBdr>
    </w:div>
    <w:div w:id="468207561">
      <w:bodyDiv w:val="1"/>
      <w:marLeft w:val="0"/>
      <w:marRight w:val="0"/>
      <w:marTop w:val="0"/>
      <w:marBottom w:val="0"/>
      <w:divBdr>
        <w:top w:val="none" w:sz="0" w:space="0" w:color="auto"/>
        <w:left w:val="none" w:sz="0" w:space="0" w:color="auto"/>
        <w:bottom w:val="none" w:sz="0" w:space="0" w:color="auto"/>
        <w:right w:val="none" w:sz="0" w:space="0" w:color="auto"/>
      </w:divBdr>
      <w:divsChild>
        <w:div w:id="1519157094">
          <w:marLeft w:val="576"/>
          <w:marRight w:val="0"/>
          <w:marTop w:val="80"/>
          <w:marBottom w:val="0"/>
          <w:divBdr>
            <w:top w:val="none" w:sz="0" w:space="0" w:color="auto"/>
            <w:left w:val="none" w:sz="0" w:space="0" w:color="auto"/>
            <w:bottom w:val="none" w:sz="0" w:space="0" w:color="auto"/>
            <w:right w:val="none" w:sz="0" w:space="0" w:color="auto"/>
          </w:divBdr>
        </w:div>
      </w:divsChild>
    </w:div>
    <w:div w:id="496305210">
      <w:bodyDiv w:val="1"/>
      <w:marLeft w:val="0"/>
      <w:marRight w:val="0"/>
      <w:marTop w:val="0"/>
      <w:marBottom w:val="0"/>
      <w:divBdr>
        <w:top w:val="none" w:sz="0" w:space="0" w:color="auto"/>
        <w:left w:val="none" w:sz="0" w:space="0" w:color="auto"/>
        <w:bottom w:val="none" w:sz="0" w:space="0" w:color="auto"/>
        <w:right w:val="none" w:sz="0" w:space="0" w:color="auto"/>
      </w:divBdr>
      <w:divsChild>
        <w:div w:id="1932933708">
          <w:marLeft w:val="0"/>
          <w:marRight w:val="0"/>
          <w:marTop w:val="0"/>
          <w:marBottom w:val="0"/>
          <w:divBdr>
            <w:top w:val="none" w:sz="0" w:space="0" w:color="auto"/>
            <w:left w:val="none" w:sz="0" w:space="0" w:color="auto"/>
            <w:bottom w:val="none" w:sz="0" w:space="0" w:color="auto"/>
            <w:right w:val="none" w:sz="0" w:space="0" w:color="auto"/>
          </w:divBdr>
        </w:div>
      </w:divsChild>
    </w:div>
    <w:div w:id="542836004">
      <w:bodyDiv w:val="1"/>
      <w:marLeft w:val="0"/>
      <w:marRight w:val="0"/>
      <w:marTop w:val="0"/>
      <w:marBottom w:val="0"/>
      <w:divBdr>
        <w:top w:val="none" w:sz="0" w:space="0" w:color="auto"/>
        <w:left w:val="none" w:sz="0" w:space="0" w:color="auto"/>
        <w:bottom w:val="none" w:sz="0" w:space="0" w:color="auto"/>
        <w:right w:val="none" w:sz="0" w:space="0" w:color="auto"/>
      </w:divBdr>
    </w:div>
    <w:div w:id="580455272">
      <w:bodyDiv w:val="1"/>
      <w:marLeft w:val="0"/>
      <w:marRight w:val="0"/>
      <w:marTop w:val="0"/>
      <w:marBottom w:val="0"/>
      <w:divBdr>
        <w:top w:val="none" w:sz="0" w:space="0" w:color="auto"/>
        <w:left w:val="none" w:sz="0" w:space="0" w:color="auto"/>
        <w:bottom w:val="none" w:sz="0" w:space="0" w:color="auto"/>
        <w:right w:val="none" w:sz="0" w:space="0" w:color="auto"/>
      </w:divBdr>
    </w:div>
    <w:div w:id="591934660">
      <w:bodyDiv w:val="1"/>
      <w:marLeft w:val="0"/>
      <w:marRight w:val="0"/>
      <w:marTop w:val="0"/>
      <w:marBottom w:val="0"/>
      <w:divBdr>
        <w:top w:val="none" w:sz="0" w:space="0" w:color="auto"/>
        <w:left w:val="none" w:sz="0" w:space="0" w:color="auto"/>
        <w:bottom w:val="none" w:sz="0" w:space="0" w:color="auto"/>
        <w:right w:val="none" w:sz="0" w:space="0" w:color="auto"/>
      </w:divBdr>
    </w:div>
    <w:div w:id="655843335">
      <w:bodyDiv w:val="1"/>
      <w:marLeft w:val="0"/>
      <w:marRight w:val="0"/>
      <w:marTop w:val="0"/>
      <w:marBottom w:val="0"/>
      <w:divBdr>
        <w:top w:val="none" w:sz="0" w:space="0" w:color="auto"/>
        <w:left w:val="none" w:sz="0" w:space="0" w:color="auto"/>
        <w:bottom w:val="none" w:sz="0" w:space="0" w:color="auto"/>
        <w:right w:val="none" w:sz="0" w:space="0" w:color="auto"/>
      </w:divBdr>
      <w:divsChild>
        <w:div w:id="2034335550">
          <w:marLeft w:val="0"/>
          <w:marRight w:val="0"/>
          <w:marTop w:val="0"/>
          <w:marBottom w:val="0"/>
          <w:divBdr>
            <w:top w:val="none" w:sz="0" w:space="0" w:color="auto"/>
            <w:left w:val="none" w:sz="0" w:space="0" w:color="auto"/>
            <w:bottom w:val="none" w:sz="0" w:space="0" w:color="auto"/>
            <w:right w:val="none" w:sz="0" w:space="0" w:color="auto"/>
          </w:divBdr>
        </w:div>
      </w:divsChild>
    </w:div>
    <w:div w:id="682173037">
      <w:bodyDiv w:val="1"/>
      <w:marLeft w:val="0"/>
      <w:marRight w:val="0"/>
      <w:marTop w:val="0"/>
      <w:marBottom w:val="0"/>
      <w:divBdr>
        <w:top w:val="none" w:sz="0" w:space="0" w:color="auto"/>
        <w:left w:val="none" w:sz="0" w:space="0" w:color="auto"/>
        <w:bottom w:val="none" w:sz="0" w:space="0" w:color="auto"/>
        <w:right w:val="none" w:sz="0" w:space="0" w:color="auto"/>
      </w:divBdr>
      <w:divsChild>
        <w:div w:id="1350373221">
          <w:marLeft w:val="1310"/>
          <w:marRight w:val="0"/>
          <w:marTop w:val="65"/>
          <w:marBottom w:val="0"/>
          <w:divBdr>
            <w:top w:val="none" w:sz="0" w:space="0" w:color="auto"/>
            <w:left w:val="none" w:sz="0" w:space="0" w:color="auto"/>
            <w:bottom w:val="none" w:sz="0" w:space="0" w:color="auto"/>
            <w:right w:val="none" w:sz="0" w:space="0" w:color="auto"/>
          </w:divBdr>
        </w:div>
        <w:div w:id="1422024446">
          <w:marLeft w:val="1310"/>
          <w:marRight w:val="0"/>
          <w:marTop w:val="65"/>
          <w:marBottom w:val="0"/>
          <w:divBdr>
            <w:top w:val="none" w:sz="0" w:space="0" w:color="auto"/>
            <w:left w:val="none" w:sz="0" w:space="0" w:color="auto"/>
            <w:bottom w:val="none" w:sz="0" w:space="0" w:color="auto"/>
            <w:right w:val="none" w:sz="0" w:space="0" w:color="auto"/>
          </w:divBdr>
        </w:div>
        <w:div w:id="1826821520">
          <w:marLeft w:val="1310"/>
          <w:marRight w:val="0"/>
          <w:marTop w:val="65"/>
          <w:marBottom w:val="0"/>
          <w:divBdr>
            <w:top w:val="none" w:sz="0" w:space="0" w:color="auto"/>
            <w:left w:val="none" w:sz="0" w:space="0" w:color="auto"/>
            <w:bottom w:val="none" w:sz="0" w:space="0" w:color="auto"/>
            <w:right w:val="none" w:sz="0" w:space="0" w:color="auto"/>
          </w:divBdr>
        </w:div>
      </w:divsChild>
    </w:div>
    <w:div w:id="738477282">
      <w:bodyDiv w:val="1"/>
      <w:marLeft w:val="0"/>
      <w:marRight w:val="0"/>
      <w:marTop w:val="0"/>
      <w:marBottom w:val="0"/>
      <w:divBdr>
        <w:top w:val="none" w:sz="0" w:space="0" w:color="auto"/>
        <w:left w:val="none" w:sz="0" w:space="0" w:color="auto"/>
        <w:bottom w:val="none" w:sz="0" w:space="0" w:color="auto"/>
        <w:right w:val="none" w:sz="0" w:space="0" w:color="auto"/>
      </w:divBdr>
      <w:divsChild>
        <w:div w:id="1105619316">
          <w:marLeft w:val="0"/>
          <w:marRight w:val="0"/>
          <w:marTop w:val="0"/>
          <w:marBottom w:val="0"/>
          <w:divBdr>
            <w:top w:val="none" w:sz="0" w:space="0" w:color="auto"/>
            <w:left w:val="none" w:sz="0" w:space="0" w:color="auto"/>
            <w:bottom w:val="none" w:sz="0" w:space="0" w:color="auto"/>
            <w:right w:val="none" w:sz="0" w:space="0" w:color="auto"/>
          </w:divBdr>
        </w:div>
      </w:divsChild>
    </w:div>
    <w:div w:id="762147521">
      <w:bodyDiv w:val="1"/>
      <w:marLeft w:val="0"/>
      <w:marRight w:val="0"/>
      <w:marTop w:val="0"/>
      <w:marBottom w:val="0"/>
      <w:divBdr>
        <w:top w:val="none" w:sz="0" w:space="0" w:color="auto"/>
        <w:left w:val="none" w:sz="0" w:space="0" w:color="auto"/>
        <w:bottom w:val="none" w:sz="0" w:space="0" w:color="auto"/>
        <w:right w:val="none" w:sz="0" w:space="0" w:color="auto"/>
      </w:divBdr>
    </w:div>
    <w:div w:id="799349313">
      <w:bodyDiv w:val="1"/>
      <w:marLeft w:val="0"/>
      <w:marRight w:val="0"/>
      <w:marTop w:val="0"/>
      <w:marBottom w:val="0"/>
      <w:divBdr>
        <w:top w:val="none" w:sz="0" w:space="0" w:color="auto"/>
        <w:left w:val="none" w:sz="0" w:space="0" w:color="auto"/>
        <w:bottom w:val="none" w:sz="0" w:space="0" w:color="auto"/>
        <w:right w:val="none" w:sz="0" w:space="0" w:color="auto"/>
      </w:divBdr>
      <w:divsChild>
        <w:div w:id="1045371807">
          <w:marLeft w:val="0"/>
          <w:marRight w:val="0"/>
          <w:marTop w:val="0"/>
          <w:marBottom w:val="0"/>
          <w:divBdr>
            <w:top w:val="none" w:sz="0" w:space="0" w:color="auto"/>
            <w:left w:val="none" w:sz="0" w:space="0" w:color="auto"/>
            <w:bottom w:val="none" w:sz="0" w:space="0" w:color="auto"/>
            <w:right w:val="none" w:sz="0" w:space="0" w:color="auto"/>
          </w:divBdr>
        </w:div>
      </w:divsChild>
    </w:div>
    <w:div w:id="849950405">
      <w:bodyDiv w:val="1"/>
      <w:marLeft w:val="0"/>
      <w:marRight w:val="0"/>
      <w:marTop w:val="0"/>
      <w:marBottom w:val="0"/>
      <w:divBdr>
        <w:top w:val="none" w:sz="0" w:space="0" w:color="auto"/>
        <w:left w:val="none" w:sz="0" w:space="0" w:color="auto"/>
        <w:bottom w:val="none" w:sz="0" w:space="0" w:color="auto"/>
        <w:right w:val="none" w:sz="0" w:space="0" w:color="auto"/>
      </w:divBdr>
      <w:divsChild>
        <w:div w:id="312150131">
          <w:marLeft w:val="0"/>
          <w:marRight w:val="0"/>
          <w:marTop w:val="0"/>
          <w:marBottom w:val="0"/>
          <w:divBdr>
            <w:top w:val="none" w:sz="0" w:space="0" w:color="auto"/>
            <w:left w:val="none" w:sz="0" w:space="0" w:color="auto"/>
            <w:bottom w:val="none" w:sz="0" w:space="0" w:color="auto"/>
            <w:right w:val="none" w:sz="0" w:space="0" w:color="auto"/>
          </w:divBdr>
        </w:div>
      </w:divsChild>
    </w:div>
    <w:div w:id="1046486452">
      <w:bodyDiv w:val="1"/>
      <w:marLeft w:val="0"/>
      <w:marRight w:val="0"/>
      <w:marTop w:val="0"/>
      <w:marBottom w:val="0"/>
      <w:divBdr>
        <w:top w:val="none" w:sz="0" w:space="0" w:color="auto"/>
        <w:left w:val="none" w:sz="0" w:space="0" w:color="auto"/>
        <w:bottom w:val="none" w:sz="0" w:space="0" w:color="auto"/>
        <w:right w:val="none" w:sz="0" w:space="0" w:color="auto"/>
      </w:divBdr>
      <w:divsChild>
        <w:div w:id="855659891">
          <w:marLeft w:val="0"/>
          <w:marRight w:val="0"/>
          <w:marTop w:val="0"/>
          <w:marBottom w:val="0"/>
          <w:divBdr>
            <w:top w:val="none" w:sz="0" w:space="0" w:color="auto"/>
            <w:left w:val="none" w:sz="0" w:space="0" w:color="auto"/>
            <w:bottom w:val="none" w:sz="0" w:space="0" w:color="auto"/>
            <w:right w:val="none" w:sz="0" w:space="0" w:color="auto"/>
          </w:divBdr>
          <w:divsChild>
            <w:div w:id="14043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5057">
      <w:bodyDiv w:val="1"/>
      <w:marLeft w:val="0"/>
      <w:marRight w:val="0"/>
      <w:marTop w:val="0"/>
      <w:marBottom w:val="0"/>
      <w:divBdr>
        <w:top w:val="none" w:sz="0" w:space="0" w:color="auto"/>
        <w:left w:val="none" w:sz="0" w:space="0" w:color="auto"/>
        <w:bottom w:val="none" w:sz="0" w:space="0" w:color="auto"/>
        <w:right w:val="none" w:sz="0" w:space="0" w:color="auto"/>
      </w:divBdr>
      <w:divsChild>
        <w:div w:id="1563561276">
          <w:marLeft w:val="0"/>
          <w:marRight w:val="0"/>
          <w:marTop w:val="0"/>
          <w:marBottom w:val="0"/>
          <w:divBdr>
            <w:top w:val="none" w:sz="0" w:space="0" w:color="auto"/>
            <w:left w:val="none" w:sz="0" w:space="0" w:color="auto"/>
            <w:bottom w:val="none" w:sz="0" w:space="0" w:color="auto"/>
            <w:right w:val="none" w:sz="0" w:space="0" w:color="auto"/>
          </w:divBdr>
        </w:div>
      </w:divsChild>
    </w:div>
    <w:div w:id="1123184920">
      <w:bodyDiv w:val="1"/>
      <w:marLeft w:val="0"/>
      <w:marRight w:val="0"/>
      <w:marTop w:val="0"/>
      <w:marBottom w:val="0"/>
      <w:divBdr>
        <w:top w:val="none" w:sz="0" w:space="0" w:color="auto"/>
        <w:left w:val="none" w:sz="0" w:space="0" w:color="auto"/>
        <w:bottom w:val="none" w:sz="0" w:space="0" w:color="auto"/>
        <w:right w:val="none" w:sz="0" w:space="0" w:color="auto"/>
      </w:divBdr>
    </w:div>
    <w:div w:id="1192108803">
      <w:bodyDiv w:val="1"/>
      <w:marLeft w:val="0"/>
      <w:marRight w:val="0"/>
      <w:marTop w:val="0"/>
      <w:marBottom w:val="0"/>
      <w:divBdr>
        <w:top w:val="none" w:sz="0" w:space="0" w:color="auto"/>
        <w:left w:val="none" w:sz="0" w:space="0" w:color="auto"/>
        <w:bottom w:val="none" w:sz="0" w:space="0" w:color="auto"/>
        <w:right w:val="none" w:sz="0" w:space="0" w:color="auto"/>
      </w:divBdr>
      <w:divsChild>
        <w:div w:id="191963554">
          <w:marLeft w:val="0"/>
          <w:marRight w:val="0"/>
          <w:marTop w:val="0"/>
          <w:marBottom w:val="0"/>
          <w:divBdr>
            <w:top w:val="none" w:sz="0" w:space="0" w:color="auto"/>
            <w:left w:val="none" w:sz="0" w:space="0" w:color="auto"/>
            <w:bottom w:val="none" w:sz="0" w:space="0" w:color="auto"/>
            <w:right w:val="none" w:sz="0" w:space="0" w:color="auto"/>
          </w:divBdr>
        </w:div>
      </w:divsChild>
    </w:div>
    <w:div w:id="1265042137">
      <w:bodyDiv w:val="1"/>
      <w:marLeft w:val="0"/>
      <w:marRight w:val="0"/>
      <w:marTop w:val="0"/>
      <w:marBottom w:val="0"/>
      <w:divBdr>
        <w:top w:val="none" w:sz="0" w:space="0" w:color="auto"/>
        <w:left w:val="none" w:sz="0" w:space="0" w:color="auto"/>
        <w:bottom w:val="none" w:sz="0" w:space="0" w:color="auto"/>
        <w:right w:val="none" w:sz="0" w:space="0" w:color="auto"/>
      </w:divBdr>
    </w:div>
    <w:div w:id="1314263542">
      <w:bodyDiv w:val="1"/>
      <w:marLeft w:val="0"/>
      <w:marRight w:val="0"/>
      <w:marTop w:val="0"/>
      <w:marBottom w:val="0"/>
      <w:divBdr>
        <w:top w:val="none" w:sz="0" w:space="0" w:color="auto"/>
        <w:left w:val="none" w:sz="0" w:space="0" w:color="auto"/>
        <w:bottom w:val="none" w:sz="0" w:space="0" w:color="auto"/>
        <w:right w:val="none" w:sz="0" w:space="0" w:color="auto"/>
      </w:divBdr>
    </w:div>
    <w:div w:id="1449087596">
      <w:bodyDiv w:val="1"/>
      <w:marLeft w:val="0"/>
      <w:marRight w:val="0"/>
      <w:marTop w:val="0"/>
      <w:marBottom w:val="0"/>
      <w:divBdr>
        <w:top w:val="none" w:sz="0" w:space="0" w:color="auto"/>
        <w:left w:val="none" w:sz="0" w:space="0" w:color="auto"/>
        <w:bottom w:val="none" w:sz="0" w:space="0" w:color="auto"/>
        <w:right w:val="none" w:sz="0" w:space="0" w:color="auto"/>
      </w:divBdr>
    </w:div>
    <w:div w:id="1500386554">
      <w:bodyDiv w:val="1"/>
      <w:marLeft w:val="0"/>
      <w:marRight w:val="0"/>
      <w:marTop w:val="0"/>
      <w:marBottom w:val="0"/>
      <w:divBdr>
        <w:top w:val="none" w:sz="0" w:space="0" w:color="auto"/>
        <w:left w:val="none" w:sz="0" w:space="0" w:color="auto"/>
        <w:bottom w:val="none" w:sz="0" w:space="0" w:color="auto"/>
        <w:right w:val="none" w:sz="0" w:space="0" w:color="auto"/>
      </w:divBdr>
    </w:div>
    <w:div w:id="1532525709">
      <w:bodyDiv w:val="1"/>
      <w:marLeft w:val="0"/>
      <w:marRight w:val="0"/>
      <w:marTop w:val="0"/>
      <w:marBottom w:val="0"/>
      <w:divBdr>
        <w:top w:val="none" w:sz="0" w:space="0" w:color="auto"/>
        <w:left w:val="none" w:sz="0" w:space="0" w:color="auto"/>
        <w:bottom w:val="none" w:sz="0" w:space="0" w:color="auto"/>
        <w:right w:val="none" w:sz="0" w:space="0" w:color="auto"/>
      </w:divBdr>
    </w:div>
    <w:div w:id="1608922881">
      <w:bodyDiv w:val="1"/>
      <w:marLeft w:val="0"/>
      <w:marRight w:val="0"/>
      <w:marTop w:val="0"/>
      <w:marBottom w:val="0"/>
      <w:divBdr>
        <w:top w:val="none" w:sz="0" w:space="0" w:color="auto"/>
        <w:left w:val="none" w:sz="0" w:space="0" w:color="auto"/>
        <w:bottom w:val="none" w:sz="0" w:space="0" w:color="auto"/>
        <w:right w:val="none" w:sz="0" w:space="0" w:color="auto"/>
      </w:divBdr>
    </w:div>
    <w:div w:id="1628929629">
      <w:bodyDiv w:val="1"/>
      <w:marLeft w:val="0"/>
      <w:marRight w:val="0"/>
      <w:marTop w:val="0"/>
      <w:marBottom w:val="0"/>
      <w:divBdr>
        <w:top w:val="none" w:sz="0" w:space="0" w:color="auto"/>
        <w:left w:val="none" w:sz="0" w:space="0" w:color="auto"/>
        <w:bottom w:val="none" w:sz="0" w:space="0" w:color="auto"/>
        <w:right w:val="none" w:sz="0" w:space="0" w:color="auto"/>
      </w:divBdr>
    </w:div>
    <w:div w:id="1637101510">
      <w:bodyDiv w:val="1"/>
      <w:marLeft w:val="0"/>
      <w:marRight w:val="0"/>
      <w:marTop w:val="0"/>
      <w:marBottom w:val="0"/>
      <w:divBdr>
        <w:top w:val="none" w:sz="0" w:space="0" w:color="auto"/>
        <w:left w:val="none" w:sz="0" w:space="0" w:color="auto"/>
        <w:bottom w:val="none" w:sz="0" w:space="0" w:color="auto"/>
        <w:right w:val="none" w:sz="0" w:space="0" w:color="auto"/>
      </w:divBdr>
    </w:div>
    <w:div w:id="1688555168">
      <w:bodyDiv w:val="1"/>
      <w:marLeft w:val="0"/>
      <w:marRight w:val="0"/>
      <w:marTop w:val="0"/>
      <w:marBottom w:val="0"/>
      <w:divBdr>
        <w:top w:val="none" w:sz="0" w:space="0" w:color="auto"/>
        <w:left w:val="none" w:sz="0" w:space="0" w:color="auto"/>
        <w:bottom w:val="none" w:sz="0" w:space="0" w:color="auto"/>
        <w:right w:val="none" w:sz="0" w:space="0" w:color="auto"/>
      </w:divBdr>
    </w:div>
    <w:div w:id="1702588488">
      <w:bodyDiv w:val="1"/>
      <w:marLeft w:val="0"/>
      <w:marRight w:val="0"/>
      <w:marTop w:val="0"/>
      <w:marBottom w:val="0"/>
      <w:divBdr>
        <w:top w:val="none" w:sz="0" w:space="0" w:color="auto"/>
        <w:left w:val="none" w:sz="0" w:space="0" w:color="auto"/>
        <w:bottom w:val="none" w:sz="0" w:space="0" w:color="auto"/>
        <w:right w:val="none" w:sz="0" w:space="0" w:color="auto"/>
      </w:divBdr>
      <w:divsChild>
        <w:div w:id="364983192">
          <w:marLeft w:val="0"/>
          <w:marRight w:val="0"/>
          <w:marTop w:val="0"/>
          <w:marBottom w:val="0"/>
          <w:divBdr>
            <w:top w:val="none" w:sz="0" w:space="0" w:color="auto"/>
            <w:left w:val="none" w:sz="0" w:space="0" w:color="auto"/>
            <w:bottom w:val="none" w:sz="0" w:space="0" w:color="auto"/>
            <w:right w:val="none" w:sz="0" w:space="0" w:color="auto"/>
          </w:divBdr>
        </w:div>
      </w:divsChild>
    </w:div>
    <w:div w:id="1752314877">
      <w:bodyDiv w:val="1"/>
      <w:marLeft w:val="0"/>
      <w:marRight w:val="0"/>
      <w:marTop w:val="0"/>
      <w:marBottom w:val="0"/>
      <w:divBdr>
        <w:top w:val="none" w:sz="0" w:space="0" w:color="auto"/>
        <w:left w:val="none" w:sz="0" w:space="0" w:color="auto"/>
        <w:bottom w:val="none" w:sz="0" w:space="0" w:color="auto"/>
        <w:right w:val="none" w:sz="0" w:space="0" w:color="auto"/>
      </w:divBdr>
      <w:divsChild>
        <w:div w:id="567421057">
          <w:marLeft w:val="0"/>
          <w:marRight w:val="0"/>
          <w:marTop w:val="0"/>
          <w:marBottom w:val="0"/>
          <w:divBdr>
            <w:top w:val="none" w:sz="0" w:space="0" w:color="auto"/>
            <w:left w:val="none" w:sz="0" w:space="0" w:color="auto"/>
            <w:bottom w:val="none" w:sz="0" w:space="0" w:color="auto"/>
            <w:right w:val="none" w:sz="0" w:space="0" w:color="auto"/>
          </w:divBdr>
        </w:div>
      </w:divsChild>
    </w:div>
    <w:div w:id="1810397666">
      <w:bodyDiv w:val="1"/>
      <w:marLeft w:val="0"/>
      <w:marRight w:val="0"/>
      <w:marTop w:val="0"/>
      <w:marBottom w:val="0"/>
      <w:divBdr>
        <w:top w:val="none" w:sz="0" w:space="0" w:color="auto"/>
        <w:left w:val="none" w:sz="0" w:space="0" w:color="auto"/>
        <w:bottom w:val="none" w:sz="0" w:space="0" w:color="auto"/>
        <w:right w:val="none" w:sz="0" w:space="0" w:color="auto"/>
      </w:divBdr>
    </w:div>
    <w:div w:id="1977686103">
      <w:bodyDiv w:val="1"/>
      <w:marLeft w:val="0"/>
      <w:marRight w:val="0"/>
      <w:marTop w:val="0"/>
      <w:marBottom w:val="0"/>
      <w:divBdr>
        <w:top w:val="none" w:sz="0" w:space="0" w:color="auto"/>
        <w:left w:val="none" w:sz="0" w:space="0" w:color="auto"/>
        <w:bottom w:val="none" w:sz="0" w:space="0" w:color="auto"/>
        <w:right w:val="none" w:sz="0" w:space="0" w:color="auto"/>
      </w:divBdr>
      <w:divsChild>
        <w:div w:id="1915041218">
          <w:marLeft w:val="0"/>
          <w:marRight w:val="0"/>
          <w:marTop w:val="0"/>
          <w:marBottom w:val="0"/>
          <w:divBdr>
            <w:top w:val="none" w:sz="0" w:space="0" w:color="auto"/>
            <w:left w:val="none" w:sz="0" w:space="0" w:color="auto"/>
            <w:bottom w:val="none" w:sz="0" w:space="0" w:color="auto"/>
            <w:right w:val="none" w:sz="0" w:space="0" w:color="auto"/>
          </w:divBdr>
          <w:divsChild>
            <w:div w:id="9283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8460">
      <w:bodyDiv w:val="1"/>
      <w:marLeft w:val="0"/>
      <w:marRight w:val="0"/>
      <w:marTop w:val="0"/>
      <w:marBottom w:val="0"/>
      <w:divBdr>
        <w:top w:val="none" w:sz="0" w:space="0" w:color="auto"/>
        <w:left w:val="none" w:sz="0" w:space="0" w:color="auto"/>
        <w:bottom w:val="none" w:sz="0" w:space="0" w:color="auto"/>
        <w:right w:val="none" w:sz="0" w:space="0" w:color="auto"/>
      </w:divBdr>
      <w:divsChild>
        <w:div w:id="901866559">
          <w:marLeft w:val="0"/>
          <w:marRight w:val="0"/>
          <w:marTop w:val="0"/>
          <w:marBottom w:val="0"/>
          <w:divBdr>
            <w:top w:val="none" w:sz="0" w:space="0" w:color="auto"/>
            <w:left w:val="none" w:sz="0" w:space="0" w:color="auto"/>
            <w:bottom w:val="none" w:sz="0" w:space="0" w:color="auto"/>
            <w:right w:val="none" w:sz="0" w:space="0" w:color="auto"/>
          </w:divBdr>
        </w:div>
      </w:divsChild>
    </w:div>
    <w:div w:id="2072532045">
      <w:bodyDiv w:val="1"/>
      <w:marLeft w:val="0"/>
      <w:marRight w:val="0"/>
      <w:marTop w:val="0"/>
      <w:marBottom w:val="0"/>
      <w:divBdr>
        <w:top w:val="none" w:sz="0" w:space="0" w:color="auto"/>
        <w:left w:val="none" w:sz="0" w:space="0" w:color="auto"/>
        <w:bottom w:val="none" w:sz="0" w:space="0" w:color="auto"/>
        <w:right w:val="none" w:sz="0" w:space="0" w:color="auto"/>
      </w:divBdr>
      <w:divsChild>
        <w:div w:id="1719623897">
          <w:marLeft w:val="0"/>
          <w:marRight w:val="0"/>
          <w:marTop w:val="0"/>
          <w:marBottom w:val="0"/>
          <w:divBdr>
            <w:top w:val="none" w:sz="0" w:space="0" w:color="auto"/>
            <w:left w:val="none" w:sz="0" w:space="0" w:color="auto"/>
            <w:bottom w:val="none" w:sz="0" w:space="0" w:color="auto"/>
            <w:right w:val="none" w:sz="0" w:space="0" w:color="auto"/>
          </w:divBdr>
          <w:divsChild>
            <w:div w:id="1894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5098">
      <w:bodyDiv w:val="1"/>
      <w:marLeft w:val="0"/>
      <w:marRight w:val="0"/>
      <w:marTop w:val="0"/>
      <w:marBottom w:val="0"/>
      <w:divBdr>
        <w:top w:val="none" w:sz="0" w:space="0" w:color="auto"/>
        <w:left w:val="none" w:sz="0" w:space="0" w:color="auto"/>
        <w:bottom w:val="none" w:sz="0" w:space="0" w:color="auto"/>
        <w:right w:val="none" w:sz="0" w:space="0" w:color="auto"/>
      </w:divBdr>
      <w:divsChild>
        <w:div w:id="12585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6.wmf"/><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hyperlink" Target="http://www.inei.gob.pe/"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wmf"/><Relationship Id="rId38" Type="http://schemas.openxmlformats.org/officeDocument/2006/relationships/hyperlink" Target="http://www.sunass.gob.pe/" TargetMode="Externa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hyperlink" Target="http://www.paptonline.com/mapa/" TargetMode="External"/><Relationship Id="rId40"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hyperlink" Target="http://www.vivienda.gob.pe/"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image" Target="media/image22.emf"/><Relationship Id="rId35" Type="http://schemas.openxmlformats.org/officeDocument/2006/relationships/hyperlink" Target="http://www.mef.gob.pe/"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unass.gob.pe/consulta_tarifas.php" TargetMode="External"/><Relationship Id="rId1" Type="http://schemas.openxmlformats.org/officeDocument/2006/relationships/hyperlink" Target="http://www.inei.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572EF-9DAE-457A-B671-295B9F05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30</Pages>
  <Words>7239</Words>
  <Characters>39819</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Program Budgeting and Benefit Incidence Analysis: Water and Sanitation sector</vt:lpstr>
    </vt:vector>
  </TitlesOfParts>
  <Company>Centro de Investigación de la Universidad del Pacífico</Company>
  <LinksUpToDate>false</LinksUpToDate>
  <CharactersWithSpaces>46965</CharactersWithSpaces>
  <SharedDoc>false</SharedDoc>
  <HLinks>
    <vt:vector size="180" baseType="variant">
      <vt:variant>
        <vt:i4>5177410</vt:i4>
      </vt:variant>
      <vt:variant>
        <vt:i4>180</vt:i4>
      </vt:variant>
      <vt:variant>
        <vt:i4>0</vt:i4>
      </vt:variant>
      <vt:variant>
        <vt:i4>5</vt:i4>
      </vt:variant>
      <vt:variant>
        <vt:lpwstr>http://www.sunass.gob.pe/</vt:lpwstr>
      </vt:variant>
      <vt:variant>
        <vt:lpwstr/>
      </vt:variant>
      <vt:variant>
        <vt:i4>2621492</vt:i4>
      </vt:variant>
      <vt:variant>
        <vt:i4>177</vt:i4>
      </vt:variant>
      <vt:variant>
        <vt:i4>0</vt:i4>
      </vt:variant>
      <vt:variant>
        <vt:i4>5</vt:i4>
      </vt:variant>
      <vt:variant>
        <vt:lpwstr>http://www.paptonline.com/mapa/</vt:lpwstr>
      </vt:variant>
      <vt:variant>
        <vt:lpwstr/>
      </vt:variant>
      <vt:variant>
        <vt:i4>2097194</vt:i4>
      </vt:variant>
      <vt:variant>
        <vt:i4>174</vt:i4>
      </vt:variant>
      <vt:variant>
        <vt:i4>0</vt:i4>
      </vt:variant>
      <vt:variant>
        <vt:i4>5</vt:i4>
      </vt:variant>
      <vt:variant>
        <vt:lpwstr>http://www.vivienda.gob.pe/</vt:lpwstr>
      </vt:variant>
      <vt:variant>
        <vt:lpwstr/>
      </vt:variant>
      <vt:variant>
        <vt:i4>7995455</vt:i4>
      </vt:variant>
      <vt:variant>
        <vt:i4>171</vt:i4>
      </vt:variant>
      <vt:variant>
        <vt:i4>0</vt:i4>
      </vt:variant>
      <vt:variant>
        <vt:i4>5</vt:i4>
      </vt:variant>
      <vt:variant>
        <vt:lpwstr>http://www.mef.gob.pe/</vt:lpwstr>
      </vt:variant>
      <vt:variant>
        <vt:lpwstr/>
      </vt:variant>
      <vt:variant>
        <vt:i4>2949154</vt:i4>
      </vt:variant>
      <vt:variant>
        <vt:i4>168</vt:i4>
      </vt:variant>
      <vt:variant>
        <vt:i4>0</vt:i4>
      </vt:variant>
      <vt:variant>
        <vt:i4>5</vt:i4>
      </vt:variant>
      <vt:variant>
        <vt:lpwstr>http://www.inei.gob.pe/</vt:lpwstr>
      </vt:variant>
      <vt:variant>
        <vt:lpwstr/>
      </vt:variant>
      <vt:variant>
        <vt:i4>2031669</vt:i4>
      </vt:variant>
      <vt:variant>
        <vt:i4>134</vt:i4>
      </vt:variant>
      <vt:variant>
        <vt:i4>0</vt:i4>
      </vt:variant>
      <vt:variant>
        <vt:i4>5</vt:i4>
      </vt:variant>
      <vt:variant>
        <vt:lpwstr/>
      </vt:variant>
      <vt:variant>
        <vt:lpwstr>_Toc254912268</vt:lpwstr>
      </vt:variant>
      <vt:variant>
        <vt:i4>2031669</vt:i4>
      </vt:variant>
      <vt:variant>
        <vt:i4>128</vt:i4>
      </vt:variant>
      <vt:variant>
        <vt:i4>0</vt:i4>
      </vt:variant>
      <vt:variant>
        <vt:i4>5</vt:i4>
      </vt:variant>
      <vt:variant>
        <vt:lpwstr/>
      </vt:variant>
      <vt:variant>
        <vt:lpwstr>_Toc254912267</vt:lpwstr>
      </vt:variant>
      <vt:variant>
        <vt:i4>2031669</vt:i4>
      </vt:variant>
      <vt:variant>
        <vt:i4>122</vt:i4>
      </vt:variant>
      <vt:variant>
        <vt:i4>0</vt:i4>
      </vt:variant>
      <vt:variant>
        <vt:i4>5</vt:i4>
      </vt:variant>
      <vt:variant>
        <vt:lpwstr/>
      </vt:variant>
      <vt:variant>
        <vt:lpwstr>_Toc254912266</vt:lpwstr>
      </vt:variant>
      <vt:variant>
        <vt:i4>2031669</vt:i4>
      </vt:variant>
      <vt:variant>
        <vt:i4>116</vt:i4>
      </vt:variant>
      <vt:variant>
        <vt:i4>0</vt:i4>
      </vt:variant>
      <vt:variant>
        <vt:i4>5</vt:i4>
      </vt:variant>
      <vt:variant>
        <vt:lpwstr/>
      </vt:variant>
      <vt:variant>
        <vt:lpwstr>_Toc254912265</vt:lpwstr>
      </vt:variant>
      <vt:variant>
        <vt:i4>2031669</vt:i4>
      </vt:variant>
      <vt:variant>
        <vt:i4>110</vt:i4>
      </vt:variant>
      <vt:variant>
        <vt:i4>0</vt:i4>
      </vt:variant>
      <vt:variant>
        <vt:i4>5</vt:i4>
      </vt:variant>
      <vt:variant>
        <vt:lpwstr/>
      </vt:variant>
      <vt:variant>
        <vt:lpwstr>_Toc254912264</vt:lpwstr>
      </vt:variant>
      <vt:variant>
        <vt:i4>2031669</vt:i4>
      </vt:variant>
      <vt:variant>
        <vt:i4>104</vt:i4>
      </vt:variant>
      <vt:variant>
        <vt:i4>0</vt:i4>
      </vt:variant>
      <vt:variant>
        <vt:i4>5</vt:i4>
      </vt:variant>
      <vt:variant>
        <vt:lpwstr/>
      </vt:variant>
      <vt:variant>
        <vt:lpwstr>_Toc254912263</vt:lpwstr>
      </vt:variant>
      <vt:variant>
        <vt:i4>2031669</vt:i4>
      </vt:variant>
      <vt:variant>
        <vt:i4>98</vt:i4>
      </vt:variant>
      <vt:variant>
        <vt:i4>0</vt:i4>
      </vt:variant>
      <vt:variant>
        <vt:i4>5</vt:i4>
      </vt:variant>
      <vt:variant>
        <vt:lpwstr/>
      </vt:variant>
      <vt:variant>
        <vt:lpwstr>_Toc254912262</vt:lpwstr>
      </vt:variant>
      <vt:variant>
        <vt:i4>2031669</vt:i4>
      </vt:variant>
      <vt:variant>
        <vt:i4>92</vt:i4>
      </vt:variant>
      <vt:variant>
        <vt:i4>0</vt:i4>
      </vt:variant>
      <vt:variant>
        <vt:i4>5</vt:i4>
      </vt:variant>
      <vt:variant>
        <vt:lpwstr/>
      </vt:variant>
      <vt:variant>
        <vt:lpwstr>_Toc254912261</vt:lpwstr>
      </vt:variant>
      <vt:variant>
        <vt:i4>2031669</vt:i4>
      </vt:variant>
      <vt:variant>
        <vt:i4>86</vt:i4>
      </vt:variant>
      <vt:variant>
        <vt:i4>0</vt:i4>
      </vt:variant>
      <vt:variant>
        <vt:i4>5</vt:i4>
      </vt:variant>
      <vt:variant>
        <vt:lpwstr/>
      </vt:variant>
      <vt:variant>
        <vt:lpwstr>_Toc254912260</vt:lpwstr>
      </vt:variant>
      <vt:variant>
        <vt:i4>1835061</vt:i4>
      </vt:variant>
      <vt:variant>
        <vt:i4>80</vt:i4>
      </vt:variant>
      <vt:variant>
        <vt:i4>0</vt:i4>
      </vt:variant>
      <vt:variant>
        <vt:i4>5</vt:i4>
      </vt:variant>
      <vt:variant>
        <vt:lpwstr/>
      </vt:variant>
      <vt:variant>
        <vt:lpwstr>_Toc254912259</vt:lpwstr>
      </vt:variant>
      <vt:variant>
        <vt:i4>1835061</vt:i4>
      </vt:variant>
      <vt:variant>
        <vt:i4>74</vt:i4>
      </vt:variant>
      <vt:variant>
        <vt:i4>0</vt:i4>
      </vt:variant>
      <vt:variant>
        <vt:i4>5</vt:i4>
      </vt:variant>
      <vt:variant>
        <vt:lpwstr/>
      </vt:variant>
      <vt:variant>
        <vt:lpwstr>_Toc254912258</vt:lpwstr>
      </vt:variant>
      <vt:variant>
        <vt:i4>1835061</vt:i4>
      </vt:variant>
      <vt:variant>
        <vt:i4>68</vt:i4>
      </vt:variant>
      <vt:variant>
        <vt:i4>0</vt:i4>
      </vt:variant>
      <vt:variant>
        <vt:i4>5</vt:i4>
      </vt:variant>
      <vt:variant>
        <vt:lpwstr/>
      </vt:variant>
      <vt:variant>
        <vt:lpwstr>_Toc254912257</vt:lpwstr>
      </vt:variant>
      <vt:variant>
        <vt:i4>1835061</vt:i4>
      </vt:variant>
      <vt:variant>
        <vt:i4>62</vt:i4>
      </vt:variant>
      <vt:variant>
        <vt:i4>0</vt:i4>
      </vt:variant>
      <vt:variant>
        <vt:i4>5</vt:i4>
      </vt:variant>
      <vt:variant>
        <vt:lpwstr/>
      </vt:variant>
      <vt:variant>
        <vt:lpwstr>_Toc254912256</vt:lpwstr>
      </vt:variant>
      <vt:variant>
        <vt:i4>1835061</vt:i4>
      </vt:variant>
      <vt:variant>
        <vt:i4>56</vt:i4>
      </vt:variant>
      <vt:variant>
        <vt:i4>0</vt:i4>
      </vt:variant>
      <vt:variant>
        <vt:i4>5</vt:i4>
      </vt:variant>
      <vt:variant>
        <vt:lpwstr/>
      </vt:variant>
      <vt:variant>
        <vt:lpwstr>_Toc254912255</vt:lpwstr>
      </vt:variant>
      <vt:variant>
        <vt:i4>1835061</vt:i4>
      </vt:variant>
      <vt:variant>
        <vt:i4>50</vt:i4>
      </vt:variant>
      <vt:variant>
        <vt:i4>0</vt:i4>
      </vt:variant>
      <vt:variant>
        <vt:i4>5</vt:i4>
      </vt:variant>
      <vt:variant>
        <vt:lpwstr/>
      </vt:variant>
      <vt:variant>
        <vt:lpwstr>_Toc254912254</vt:lpwstr>
      </vt:variant>
      <vt:variant>
        <vt:i4>1835061</vt:i4>
      </vt:variant>
      <vt:variant>
        <vt:i4>44</vt:i4>
      </vt:variant>
      <vt:variant>
        <vt:i4>0</vt:i4>
      </vt:variant>
      <vt:variant>
        <vt:i4>5</vt:i4>
      </vt:variant>
      <vt:variant>
        <vt:lpwstr/>
      </vt:variant>
      <vt:variant>
        <vt:lpwstr>_Toc254912253</vt:lpwstr>
      </vt:variant>
      <vt:variant>
        <vt:i4>1835061</vt:i4>
      </vt:variant>
      <vt:variant>
        <vt:i4>38</vt:i4>
      </vt:variant>
      <vt:variant>
        <vt:i4>0</vt:i4>
      </vt:variant>
      <vt:variant>
        <vt:i4>5</vt:i4>
      </vt:variant>
      <vt:variant>
        <vt:lpwstr/>
      </vt:variant>
      <vt:variant>
        <vt:lpwstr>_Toc254912252</vt:lpwstr>
      </vt:variant>
      <vt:variant>
        <vt:i4>1835061</vt:i4>
      </vt:variant>
      <vt:variant>
        <vt:i4>32</vt:i4>
      </vt:variant>
      <vt:variant>
        <vt:i4>0</vt:i4>
      </vt:variant>
      <vt:variant>
        <vt:i4>5</vt:i4>
      </vt:variant>
      <vt:variant>
        <vt:lpwstr/>
      </vt:variant>
      <vt:variant>
        <vt:lpwstr>_Toc254912251</vt:lpwstr>
      </vt:variant>
      <vt:variant>
        <vt:i4>1835061</vt:i4>
      </vt:variant>
      <vt:variant>
        <vt:i4>26</vt:i4>
      </vt:variant>
      <vt:variant>
        <vt:i4>0</vt:i4>
      </vt:variant>
      <vt:variant>
        <vt:i4>5</vt:i4>
      </vt:variant>
      <vt:variant>
        <vt:lpwstr/>
      </vt:variant>
      <vt:variant>
        <vt:lpwstr>_Toc254912250</vt:lpwstr>
      </vt:variant>
      <vt:variant>
        <vt:i4>1900597</vt:i4>
      </vt:variant>
      <vt:variant>
        <vt:i4>20</vt:i4>
      </vt:variant>
      <vt:variant>
        <vt:i4>0</vt:i4>
      </vt:variant>
      <vt:variant>
        <vt:i4>5</vt:i4>
      </vt:variant>
      <vt:variant>
        <vt:lpwstr/>
      </vt:variant>
      <vt:variant>
        <vt:lpwstr>_Toc254912249</vt:lpwstr>
      </vt:variant>
      <vt:variant>
        <vt:i4>1900597</vt:i4>
      </vt:variant>
      <vt:variant>
        <vt:i4>14</vt:i4>
      </vt:variant>
      <vt:variant>
        <vt:i4>0</vt:i4>
      </vt:variant>
      <vt:variant>
        <vt:i4>5</vt:i4>
      </vt:variant>
      <vt:variant>
        <vt:lpwstr/>
      </vt:variant>
      <vt:variant>
        <vt:lpwstr>_Toc254912248</vt:lpwstr>
      </vt:variant>
      <vt:variant>
        <vt:i4>1900597</vt:i4>
      </vt:variant>
      <vt:variant>
        <vt:i4>8</vt:i4>
      </vt:variant>
      <vt:variant>
        <vt:i4>0</vt:i4>
      </vt:variant>
      <vt:variant>
        <vt:i4>5</vt:i4>
      </vt:variant>
      <vt:variant>
        <vt:lpwstr/>
      </vt:variant>
      <vt:variant>
        <vt:lpwstr>_Toc254912247</vt:lpwstr>
      </vt:variant>
      <vt:variant>
        <vt:i4>1900597</vt:i4>
      </vt:variant>
      <vt:variant>
        <vt:i4>2</vt:i4>
      </vt:variant>
      <vt:variant>
        <vt:i4>0</vt:i4>
      </vt:variant>
      <vt:variant>
        <vt:i4>5</vt:i4>
      </vt:variant>
      <vt:variant>
        <vt:lpwstr/>
      </vt:variant>
      <vt:variant>
        <vt:lpwstr>_Toc254912246</vt:lpwstr>
      </vt:variant>
      <vt:variant>
        <vt:i4>3342367</vt:i4>
      </vt:variant>
      <vt:variant>
        <vt:i4>3</vt:i4>
      </vt:variant>
      <vt:variant>
        <vt:i4>0</vt:i4>
      </vt:variant>
      <vt:variant>
        <vt:i4>5</vt:i4>
      </vt:variant>
      <vt:variant>
        <vt:lpwstr>http://www.sunass.gob.pe/consulta_tarifas.php</vt:lpwstr>
      </vt:variant>
      <vt:variant>
        <vt:lpwstr/>
      </vt:variant>
      <vt:variant>
        <vt:i4>2949154</vt:i4>
      </vt:variant>
      <vt:variant>
        <vt:i4>0</vt:i4>
      </vt:variant>
      <vt:variant>
        <vt:i4>0</vt:i4>
      </vt:variant>
      <vt:variant>
        <vt:i4>5</vt:i4>
      </vt:variant>
      <vt:variant>
        <vt:lpwstr>http://www.inei.gob.pe/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Budgeting and Benefit Incidence Analysis: Water and Sanitation sector</dc:title>
  <dc:subject>Eduardo Morón</dc:subject>
  <dc:creator>U.P.</dc:creator>
  <cp:lastModifiedBy>U.P.</cp:lastModifiedBy>
  <cp:revision>10</cp:revision>
  <cp:lastPrinted>2010-03-02T20:19:00Z</cp:lastPrinted>
  <dcterms:created xsi:type="dcterms:W3CDTF">2010-03-02T16:09:00Z</dcterms:created>
  <dcterms:modified xsi:type="dcterms:W3CDTF">2010-03-02T20:19:00Z</dcterms:modified>
</cp:coreProperties>
</file>