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254"/>
      </w:tblGrid>
      <w:tr w:rsidR="00353ED4" w:rsidRPr="00132204">
        <w:tc>
          <w:tcPr>
            <w:tcW w:w="7672" w:type="dxa"/>
            <w:tcMar>
              <w:top w:w="216" w:type="dxa"/>
              <w:left w:w="115" w:type="dxa"/>
              <w:bottom w:w="216" w:type="dxa"/>
              <w:right w:w="115" w:type="dxa"/>
            </w:tcMar>
          </w:tcPr>
          <w:p w:rsidR="00353ED4" w:rsidRPr="00E33640" w:rsidRDefault="00353ED4" w:rsidP="003B32A2">
            <w:pPr>
              <w:pStyle w:val="Sinespaciado2"/>
              <w:rPr>
                <w:lang w:val="es-PE"/>
              </w:rPr>
            </w:pPr>
            <w:bookmarkStart w:id="0" w:name="_GoBack"/>
            <w:bookmarkEnd w:id="0"/>
            <w:r w:rsidRPr="00E33640">
              <w:rPr>
                <w:lang w:val="es-PE"/>
              </w:rPr>
              <w:t>Centro de Investigación de la Universidad del Pacífico</w:t>
            </w:r>
          </w:p>
        </w:tc>
      </w:tr>
      <w:tr w:rsidR="00353ED4" w:rsidRPr="00E33640">
        <w:tc>
          <w:tcPr>
            <w:tcW w:w="7672" w:type="dxa"/>
          </w:tcPr>
          <w:p w:rsidR="00353ED4" w:rsidRPr="00E33640" w:rsidRDefault="00353ED4" w:rsidP="003B32A2">
            <w:pPr>
              <w:pStyle w:val="Sinespaciado2"/>
              <w:rPr>
                <w:color w:val="4F81BD"/>
                <w:sz w:val="80"/>
                <w:szCs w:val="80"/>
              </w:rPr>
            </w:pPr>
            <w:r w:rsidRPr="00E33640">
              <w:rPr>
                <w:color w:val="4F81BD"/>
                <w:sz w:val="80"/>
                <w:szCs w:val="80"/>
              </w:rPr>
              <w:t xml:space="preserve">Program </w:t>
            </w:r>
            <w:r>
              <w:rPr>
                <w:color w:val="4F81BD"/>
                <w:sz w:val="80"/>
                <w:szCs w:val="80"/>
              </w:rPr>
              <w:t>b</w:t>
            </w:r>
            <w:r w:rsidRPr="00E33640">
              <w:rPr>
                <w:color w:val="4F81BD"/>
                <w:sz w:val="80"/>
                <w:szCs w:val="80"/>
              </w:rPr>
              <w:t xml:space="preserve">udgeting </w:t>
            </w:r>
            <w:r>
              <w:rPr>
                <w:color w:val="4F81BD"/>
                <w:sz w:val="80"/>
                <w:szCs w:val="80"/>
              </w:rPr>
              <w:t xml:space="preserve">and </w:t>
            </w:r>
            <w:r w:rsidRPr="00E33640">
              <w:rPr>
                <w:color w:val="4F81BD"/>
                <w:sz w:val="80"/>
                <w:szCs w:val="80"/>
              </w:rPr>
              <w:t xml:space="preserve"> </w:t>
            </w:r>
            <w:r>
              <w:rPr>
                <w:color w:val="4F81BD"/>
                <w:sz w:val="80"/>
                <w:szCs w:val="80"/>
              </w:rPr>
              <w:t>benefit incidence a</w:t>
            </w:r>
            <w:r w:rsidRPr="00E33640">
              <w:rPr>
                <w:color w:val="4F81BD"/>
                <w:sz w:val="80"/>
                <w:szCs w:val="80"/>
              </w:rPr>
              <w:t>nalysis: Health Sector</w:t>
            </w:r>
          </w:p>
        </w:tc>
      </w:tr>
      <w:tr w:rsidR="00353ED4" w:rsidRPr="00E33640">
        <w:tc>
          <w:tcPr>
            <w:tcW w:w="7672" w:type="dxa"/>
            <w:tcMar>
              <w:top w:w="216" w:type="dxa"/>
              <w:left w:w="115" w:type="dxa"/>
              <w:bottom w:w="216" w:type="dxa"/>
              <w:right w:w="115" w:type="dxa"/>
            </w:tcMar>
          </w:tcPr>
          <w:p w:rsidR="00353ED4" w:rsidRPr="00E33640" w:rsidRDefault="00353ED4" w:rsidP="003B32A2">
            <w:pPr>
              <w:pStyle w:val="Sinespaciado2"/>
            </w:pPr>
            <w:r w:rsidRPr="00E33640">
              <w:rPr>
                <w:sz w:val="28"/>
                <w:lang w:val="es-PE"/>
              </w:rPr>
              <w:t>Peru</w:t>
            </w:r>
          </w:p>
        </w:tc>
      </w:tr>
    </w:tbl>
    <w:p w:rsidR="00353ED4" w:rsidRPr="00815FA1" w:rsidRDefault="00353ED4"/>
    <w:p w:rsidR="00353ED4" w:rsidRPr="00815FA1" w:rsidRDefault="00353ED4"/>
    <w:tbl>
      <w:tblPr>
        <w:tblpPr w:leftFromText="187" w:rightFromText="187" w:vertAnchor="page" w:horzAnchor="margin" w:tblpXSpec="center" w:tblpY="11539"/>
        <w:tblW w:w="4000" w:type="pct"/>
        <w:tblLook w:val="00A0" w:firstRow="1" w:lastRow="0" w:firstColumn="1" w:lastColumn="0" w:noHBand="0" w:noVBand="0"/>
      </w:tblPr>
      <w:tblGrid>
        <w:gridCol w:w="7254"/>
      </w:tblGrid>
      <w:tr w:rsidR="00353ED4" w:rsidRPr="00815FA1">
        <w:tc>
          <w:tcPr>
            <w:tcW w:w="7254" w:type="dxa"/>
            <w:tcMar>
              <w:top w:w="216" w:type="dxa"/>
              <w:left w:w="115" w:type="dxa"/>
              <w:bottom w:w="216" w:type="dxa"/>
              <w:right w:w="115" w:type="dxa"/>
            </w:tcMar>
          </w:tcPr>
          <w:p w:rsidR="00353ED4" w:rsidRPr="00815FA1" w:rsidRDefault="00353ED4" w:rsidP="003B32A2">
            <w:pPr>
              <w:pStyle w:val="Sinespaciado2"/>
              <w:rPr>
                <w:color w:val="4F81BD"/>
                <w:sz w:val="36"/>
              </w:rPr>
            </w:pPr>
            <w:r w:rsidRPr="00815FA1">
              <w:rPr>
                <w:color w:val="4F81BD"/>
                <w:sz w:val="36"/>
              </w:rPr>
              <w:t>Janice Seinfeld, Ph.D.</w:t>
            </w:r>
          </w:p>
          <w:p w:rsidR="00353ED4" w:rsidRPr="00815FA1" w:rsidRDefault="00353ED4" w:rsidP="003B32A2">
            <w:pPr>
              <w:pStyle w:val="Sinespaciado2"/>
              <w:rPr>
                <w:color w:val="4F81BD"/>
              </w:rPr>
            </w:pPr>
            <w:r>
              <w:rPr>
                <w:color w:val="4F81BD"/>
              </w:rPr>
              <w:t>March, 2010</w:t>
            </w:r>
          </w:p>
          <w:p w:rsidR="00353ED4" w:rsidRPr="00815FA1" w:rsidRDefault="00353ED4" w:rsidP="003B32A2">
            <w:pPr>
              <w:pStyle w:val="Sinespaciado2"/>
              <w:rPr>
                <w:color w:val="4F81BD"/>
              </w:rPr>
            </w:pPr>
          </w:p>
        </w:tc>
      </w:tr>
    </w:tbl>
    <w:p w:rsidR="00353ED4" w:rsidRPr="00815FA1" w:rsidRDefault="00353ED4" w:rsidP="001E2B47">
      <w:r w:rsidRPr="00815FA1">
        <w:t xml:space="preserve"> </w:t>
      </w:r>
      <w:r w:rsidRPr="00815FA1">
        <w:br w:type="page"/>
      </w:r>
      <w:bookmarkStart w:id="1" w:name="_Toc247349781"/>
      <w:bookmarkStart w:id="2" w:name="_Toc247349782"/>
    </w:p>
    <w:p w:rsidR="00353ED4" w:rsidRPr="00815FA1" w:rsidRDefault="00353ED4" w:rsidP="001E2B47">
      <w:pPr>
        <w:pStyle w:val="Ttulo1"/>
        <w:rPr>
          <w:rStyle w:val="apple-style-span"/>
        </w:rPr>
      </w:pPr>
      <w:bookmarkStart w:id="3" w:name="_Toc247357197"/>
      <w:bookmarkStart w:id="4" w:name="_Toc254270016"/>
      <w:r w:rsidRPr="00815FA1">
        <w:rPr>
          <w:rStyle w:val="apple-style-span"/>
        </w:rPr>
        <w:t>Contents</w:t>
      </w:r>
      <w:bookmarkEnd w:id="1"/>
      <w:bookmarkEnd w:id="2"/>
      <w:bookmarkEnd w:id="3"/>
      <w:bookmarkEnd w:id="4"/>
    </w:p>
    <w:p w:rsidR="00353ED4" w:rsidRDefault="00353ED4">
      <w:pPr>
        <w:pStyle w:val="TDC1"/>
        <w:tabs>
          <w:tab w:val="right" w:leader="dot" w:pos="8828"/>
        </w:tabs>
        <w:rPr>
          <w:rFonts w:eastAsia="Times New Roman"/>
          <w:noProof/>
          <w:sz w:val="22"/>
          <w:szCs w:val="22"/>
          <w:lang w:val="es-PE" w:eastAsia="es-PE"/>
        </w:rPr>
      </w:pPr>
      <w:r w:rsidRPr="00815FA1">
        <w:fldChar w:fldCharType="begin"/>
      </w:r>
      <w:r w:rsidRPr="00815FA1">
        <w:instrText xml:space="preserve"> TOC \o "1-3" \h \z \u </w:instrText>
      </w:r>
      <w:r w:rsidRPr="00815FA1">
        <w:fldChar w:fldCharType="separate"/>
      </w:r>
      <w:hyperlink w:anchor="_Toc254270016" w:history="1">
        <w:r w:rsidRPr="003022F3">
          <w:rPr>
            <w:rStyle w:val="Hipervnculo"/>
            <w:noProof/>
          </w:rPr>
          <w:t>Contents</w:t>
        </w:r>
        <w:r>
          <w:rPr>
            <w:noProof/>
            <w:webHidden/>
          </w:rPr>
          <w:tab/>
        </w:r>
        <w:r>
          <w:rPr>
            <w:noProof/>
            <w:webHidden/>
          </w:rPr>
          <w:fldChar w:fldCharType="begin"/>
        </w:r>
        <w:r>
          <w:rPr>
            <w:noProof/>
            <w:webHidden/>
          </w:rPr>
          <w:instrText xml:space="preserve"> PAGEREF _Toc254270016 \h </w:instrText>
        </w:r>
        <w:r>
          <w:rPr>
            <w:noProof/>
            <w:webHidden/>
          </w:rPr>
        </w:r>
        <w:r>
          <w:rPr>
            <w:noProof/>
            <w:webHidden/>
          </w:rPr>
          <w:fldChar w:fldCharType="separate"/>
        </w:r>
        <w:r>
          <w:rPr>
            <w:noProof/>
            <w:webHidden/>
          </w:rPr>
          <w:t>2</w:t>
        </w:r>
        <w:r>
          <w:rPr>
            <w:noProof/>
            <w:webHidden/>
          </w:rPr>
          <w:fldChar w:fldCharType="end"/>
        </w:r>
      </w:hyperlink>
    </w:p>
    <w:p w:rsidR="00353ED4" w:rsidRDefault="00132204">
      <w:pPr>
        <w:pStyle w:val="TDC1"/>
        <w:tabs>
          <w:tab w:val="right" w:leader="dot" w:pos="8828"/>
        </w:tabs>
        <w:rPr>
          <w:rFonts w:eastAsia="Times New Roman"/>
          <w:noProof/>
          <w:sz w:val="22"/>
          <w:szCs w:val="22"/>
          <w:lang w:val="es-PE" w:eastAsia="es-PE"/>
        </w:rPr>
      </w:pPr>
      <w:hyperlink w:anchor="_Toc254270017" w:history="1">
        <w:r w:rsidR="00353ED4" w:rsidRPr="003022F3">
          <w:rPr>
            <w:rStyle w:val="Hipervnculo"/>
            <w:noProof/>
          </w:rPr>
          <w:t>Introduction</w:t>
        </w:r>
        <w:r w:rsidR="00353ED4">
          <w:rPr>
            <w:noProof/>
            <w:webHidden/>
          </w:rPr>
          <w:tab/>
        </w:r>
        <w:r w:rsidR="00353ED4">
          <w:rPr>
            <w:noProof/>
            <w:webHidden/>
          </w:rPr>
          <w:fldChar w:fldCharType="begin"/>
        </w:r>
        <w:r w:rsidR="00353ED4">
          <w:rPr>
            <w:noProof/>
            <w:webHidden/>
          </w:rPr>
          <w:instrText xml:space="preserve"> PAGEREF _Toc254270017 \h </w:instrText>
        </w:r>
        <w:r w:rsidR="00353ED4">
          <w:rPr>
            <w:noProof/>
            <w:webHidden/>
          </w:rPr>
        </w:r>
        <w:r w:rsidR="00353ED4">
          <w:rPr>
            <w:noProof/>
            <w:webHidden/>
          </w:rPr>
          <w:fldChar w:fldCharType="separate"/>
        </w:r>
        <w:r w:rsidR="00353ED4">
          <w:rPr>
            <w:noProof/>
            <w:webHidden/>
          </w:rPr>
          <w:t>4</w:t>
        </w:r>
        <w:r w:rsidR="00353ED4">
          <w:rPr>
            <w:noProof/>
            <w:webHidden/>
          </w:rPr>
          <w:fldChar w:fldCharType="end"/>
        </w:r>
      </w:hyperlink>
    </w:p>
    <w:p w:rsidR="00353ED4" w:rsidRDefault="00132204">
      <w:pPr>
        <w:pStyle w:val="TDC1"/>
        <w:tabs>
          <w:tab w:val="left" w:pos="400"/>
          <w:tab w:val="right" w:leader="dot" w:pos="8828"/>
        </w:tabs>
        <w:rPr>
          <w:rFonts w:eastAsia="Times New Roman"/>
          <w:noProof/>
          <w:sz w:val="22"/>
          <w:szCs w:val="22"/>
          <w:lang w:val="es-PE" w:eastAsia="es-PE"/>
        </w:rPr>
      </w:pPr>
      <w:hyperlink w:anchor="_Toc254270018" w:history="1">
        <w:r w:rsidR="00353ED4" w:rsidRPr="003022F3">
          <w:rPr>
            <w:rStyle w:val="Hipervnculo"/>
            <w:noProof/>
          </w:rPr>
          <w:t>I.</w:t>
        </w:r>
        <w:r w:rsidR="00353ED4">
          <w:rPr>
            <w:rFonts w:eastAsia="Times New Roman"/>
            <w:noProof/>
            <w:sz w:val="22"/>
            <w:szCs w:val="22"/>
            <w:lang w:val="es-PE" w:eastAsia="es-PE"/>
          </w:rPr>
          <w:tab/>
        </w:r>
        <w:r w:rsidR="00353ED4" w:rsidRPr="003022F3">
          <w:rPr>
            <w:rStyle w:val="Hipervnculo"/>
            <w:noProof/>
          </w:rPr>
          <w:t>General description of the Health Sector</w:t>
        </w:r>
        <w:r w:rsidR="00353ED4">
          <w:rPr>
            <w:noProof/>
            <w:webHidden/>
          </w:rPr>
          <w:tab/>
        </w:r>
        <w:r w:rsidR="00353ED4">
          <w:rPr>
            <w:noProof/>
            <w:webHidden/>
          </w:rPr>
          <w:fldChar w:fldCharType="begin"/>
        </w:r>
        <w:r w:rsidR="00353ED4">
          <w:rPr>
            <w:noProof/>
            <w:webHidden/>
          </w:rPr>
          <w:instrText xml:space="preserve"> PAGEREF _Toc254270018 \h </w:instrText>
        </w:r>
        <w:r w:rsidR="00353ED4">
          <w:rPr>
            <w:noProof/>
            <w:webHidden/>
          </w:rPr>
        </w:r>
        <w:r w:rsidR="00353ED4">
          <w:rPr>
            <w:noProof/>
            <w:webHidden/>
          </w:rPr>
          <w:fldChar w:fldCharType="separate"/>
        </w:r>
        <w:r w:rsidR="00353ED4">
          <w:rPr>
            <w:noProof/>
            <w:webHidden/>
          </w:rPr>
          <w:t>7</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19" w:history="1">
        <w:r w:rsidR="00353ED4" w:rsidRPr="003022F3">
          <w:rPr>
            <w:rStyle w:val="Hipervnculo"/>
            <w:noProof/>
          </w:rPr>
          <w:t>1.</w:t>
        </w:r>
        <w:r w:rsidR="00353ED4">
          <w:rPr>
            <w:rFonts w:eastAsia="Times New Roman"/>
            <w:noProof/>
            <w:sz w:val="22"/>
            <w:szCs w:val="22"/>
            <w:lang w:val="es-PE" w:eastAsia="es-PE"/>
          </w:rPr>
          <w:tab/>
        </w:r>
        <w:r w:rsidR="00353ED4" w:rsidRPr="003022F3">
          <w:rPr>
            <w:rStyle w:val="Hipervnculo"/>
            <w:noProof/>
          </w:rPr>
          <w:t>Sector organization</w:t>
        </w:r>
        <w:r w:rsidR="00353ED4">
          <w:rPr>
            <w:noProof/>
            <w:webHidden/>
          </w:rPr>
          <w:tab/>
        </w:r>
        <w:r w:rsidR="00353ED4">
          <w:rPr>
            <w:noProof/>
            <w:webHidden/>
          </w:rPr>
          <w:fldChar w:fldCharType="begin"/>
        </w:r>
        <w:r w:rsidR="00353ED4">
          <w:rPr>
            <w:noProof/>
            <w:webHidden/>
          </w:rPr>
          <w:instrText xml:space="preserve"> PAGEREF _Toc254270019 \h </w:instrText>
        </w:r>
        <w:r w:rsidR="00353ED4">
          <w:rPr>
            <w:noProof/>
            <w:webHidden/>
          </w:rPr>
        </w:r>
        <w:r w:rsidR="00353ED4">
          <w:rPr>
            <w:noProof/>
            <w:webHidden/>
          </w:rPr>
          <w:fldChar w:fldCharType="separate"/>
        </w:r>
        <w:r w:rsidR="00353ED4">
          <w:rPr>
            <w:noProof/>
            <w:webHidden/>
          </w:rPr>
          <w:t>7</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0" w:history="1">
        <w:r w:rsidR="00353ED4" w:rsidRPr="003022F3">
          <w:rPr>
            <w:rStyle w:val="Hipervnculo"/>
            <w:noProof/>
          </w:rPr>
          <w:t>A.</w:t>
        </w:r>
        <w:r w:rsidR="00353ED4">
          <w:rPr>
            <w:rFonts w:eastAsia="Times New Roman"/>
            <w:noProof/>
            <w:sz w:val="22"/>
            <w:szCs w:val="22"/>
            <w:lang w:val="es-PE" w:eastAsia="es-PE"/>
          </w:rPr>
          <w:tab/>
        </w:r>
        <w:r w:rsidR="00353ED4" w:rsidRPr="003022F3">
          <w:rPr>
            <w:rStyle w:val="Hipervnculo"/>
            <w:noProof/>
          </w:rPr>
          <w:t>Public Subsector</w:t>
        </w:r>
        <w:r w:rsidR="00353ED4">
          <w:rPr>
            <w:noProof/>
            <w:webHidden/>
          </w:rPr>
          <w:tab/>
        </w:r>
        <w:r w:rsidR="00353ED4">
          <w:rPr>
            <w:noProof/>
            <w:webHidden/>
          </w:rPr>
          <w:fldChar w:fldCharType="begin"/>
        </w:r>
        <w:r w:rsidR="00353ED4">
          <w:rPr>
            <w:noProof/>
            <w:webHidden/>
          </w:rPr>
          <w:instrText xml:space="preserve"> PAGEREF _Toc254270020 \h </w:instrText>
        </w:r>
        <w:r w:rsidR="00353ED4">
          <w:rPr>
            <w:noProof/>
            <w:webHidden/>
          </w:rPr>
        </w:r>
        <w:r w:rsidR="00353ED4">
          <w:rPr>
            <w:noProof/>
            <w:webHidden/>
          </w:rPr>
          <w:fldChar w:fldCharType="separate"/>
        </w:r>
        <w:r w:rsidR="00353ED4">
          <w:rPr>
            <w:noProof/>
            <w:webHidden/>
          </w:rPr>
          <w:t>7</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1" w:history="1">
        <w:r w:rsidR="00353ED4" w:rsidRPr="003022F3">
          <w:rPr>
            <w:rStyle w:val="Hipervnculo"/>
            <w:noProof/>
          </w:rPr>
          <w:t>B.</w:t>
        </w:r>
        <w:r w:rsidR="00353ED4">
          <w:rPr>
            <w:rFonts w:eastAsia="Times New Roman"/>
            <w:noProof/>
            <w:sz w:val="22"/>
            <w:szCs w:val="22"/>
            <w:lang w:val="es-PE" w:eastAsia="es-PE"/>
          </w:rPr>
          <w:tab/>
        </w:r>
        <w:r w:rsidR="00353ED4" w:rsidRPr="003022F3">
          <w:rPr>
            <w:rStyle w:val="Hipervnculo"/>
            <w:noProof/>
          </w:rPr>
          <w:t>Private Subsector</w:t>
        </w:r>
        <w:r w:rsidR="00353ED4">
          <w:rPr>
            <w:noProof/>
            <w:webHidden/>
          </w:rPr>
          <w:tab/>
        </w:r>
        <w:r w:rsidR="00353ED4">
          <w:rPr>
            <w:noProof/>
            <w:webHidden/>
          </w:rPr>
          <w:fldChar w:fldCharType="begin"/>
        </w:r>
        <w:r w:rsidR="00353ED4">
          <w:rPr>
            <w:noProof/>
            <w:webHidden/>
          </w:rPr>
          <w:instrText xml:space="preserve"> PAGEREF _Toc254270021 \h </w:instrText>
        </w:r>
        <w:r w:rsidR="00353ED4">
          <w:rPr>
            <w:noProof/>
            <w:webHidden/>
          </w:rPr>
        </w:r>
        <w:r w:rsidR="00353ED4">
          <w:rPr>
            <w:noProof/>
            <w:webHidden/>
          </w:rPr>
          <w:fldChar w:fldCharType="separate"/>
        </w:r>
        <w:r w:rsidR="00353ED4">
          <w:rPr>
            <w:noProof/>
            <w:webHidden/>
          </w:rPr>
          <w:t>10</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22" w:history="1">
        <w:r w:rsidR="00353ED4" w:rsidRPr="003022F3">
          <w:rPr>
            <w:rStyle w:val="Hipervnculo"/>
            <w:noProof/>
          </w:rPr>
          <w:t>2.</w:t>
        </w:r>
        <w:r w:rsidR="00353ED4">
          <w:rPr>
            <w:rFonts w:eastAsia="Times New Roman"/>
            <w:noProof/>
            <w:sz w:val="22"/>
            <w:szCs w:val="22"/>
            <w:lang w:val="es-PE" w:eastAsia="es-PE"/>
          </w:rPr>
          <w:tab/>
        </w:r>
        <w:r w:rsidR="00353ED4" w:rsidRPr="003022F3">
          <w:rPr>
            <w:rStyle w:val="Hipervnculo"/>
            <w:noProof/>
          </w:rPr>
          <w:t>Agents, fonts and providers</w:t>
        </w:r>
        <w:r w:rsidR="00353ED4">
          <w:rPr>
            <w:noProof/>
            <w:webHidden/>
          </w:rPr>
          <w:tab/>
        </w:r>
        <w:r w:rsidR="00353ED4">
          <w:rPr>
            <w:noProof/>
            <w:webHidden/>
          </w:rPr>
          <w:fldChar w:fldCharType="begin"/>
        </w:r>
        <w:r w:rsidR="00353ED4">
          <w:rPr>
            <w:noProof/>
            <w:webHidden/>
          </w:rPr>
          <w:instrText xml:space="preserve"> PAGEREF _Toc254270022 \h </w:instrText>
        </w:r>
        <w:r w:rsidR="00353ED4">
          <w:rPr>
            <w:noProof/>
            <w:webHidden/>
          </w:rPr>
        </w:r>
        <w:r w:rsidR="00353ED4">
          <w:rPr>
            <w:noProof/>
            <w:webHidden/>
          </w:rPr>
          <w:fldChar w:fldCharType="separate"/>
        </w:r>
        <w:r w:rsidR="00353ED4">
          <w:rPr>
            <w:noProof/>
            <w:webHidden/>
          </w:rPr>
          <w:t>10</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3" w:history="1">
        <w:r w:rsidR="00353ED4" w:rsidRPr="003022F3">
          <w:rPr>
            <w:rStyle w:val="Hipervnculo"/>
            <w:noProof/>
          </w:rPr>
          <w:t>A.</w:t>
        </w:r>
        <w:r w:rsidR="00353ED4">
          <w:rPr>
            <w:rFonts w:eastAsia="Times New Roman"/>
            <w:noProof/>
            <w:sz w:val="22"/>
            <w:szCs w:val="22"/>
            <w:lang w:val="es-PE" w:eastAsia="es-PE"/>
          </w:rPr>
          <w:tab/>
        </w:r>
        <w:r w:rsidR="00353ED4" w:rsidRPr="003022F3">
          <w:rPr>
            <w:rStyle w:val="Hipervnculo"/>
            <w:noProof/>
          </w:rPr>
          <w:t>Entities and Fonts</w:t>
        </w:r>
        <w:r w:rsidR="00353ED4">
          <w:rPr>
            <w:noProof/>
            <w:webHidden/>
          </w:rPr>
          <w:tab/>
        </w:r>
        <w:r w:rsidR="00353ED4">
          <w:rPr>
            <w:noProof/>
            <w:webHidden/>
          </w:rPr>
          <w:fldChar w:fldCharType="begin"/>
        </w:r>
        <w:r w:rsidR="00353ED4">
          <w:rPr>
            <w:noProof/>
            <w:webHidden/>
          </w:rPr>
          <w:instrText xml:space="preserve"> PAGEREF _Toc254270023 \h </w:instrText>
        </w:r>
        <w:r w:rsidR="00353ED4">
          <w:rPr>
            <w:noProof/>
            <w:webHidden/>
          </w:rPr>
        </w:r>
        <w:r w:rsidR="00353ED4">
          <w:rPr>
            <w:noProof/>
            <w:webHidden/>
          </w:rPr>
          <w:fldChar w:fldCharType="separate"/>
        </w:r>
        <w:r w:rsidR="00353ED4">
          <w:rPr>
            <w:noProof/>
            <w:webHidden/>
          </w:rPr>
          <w:t>10</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4" w:history="1">
        <w:r w:rsidR="00353ED4" w:rsidRPr="003022F3">
          <w:rPr>
            <w:rStyle w:val="Hipervnculo"/>
            <w:noProof/>
          </w:rPr>
          <w:t>B.</w:t>
        </w:r>
        <w:r w:rsidR="00353ED4">
          <w:rPr>
            <w:rFonts w:eastAsia="Times New Roman"/>
            <w:noProof/>
            <w:sz w:val="22"/>
            <w:szCs w:val="22"/>
            <w:lang w:val="es-PE" w:eastAsia="es-PE"/>
          </w:rPr>
          <w:tab/>
        </w:r>
        <w:r w:rsidR="00353ED4" w:rsidRPr="003022F3">
          <w:rPr>
            <w:rStyle w:val="Hipervnculo"/>
            <w:noProof/>
          </w:rPr>
          <w:t>Health Providers</w:t>
        </w:r>
        <w:r w:rsidR="00353ED4">
          <w:rPr>
            <w:noProof/>
            <w:webHidden/>
          </w:rPr>
          <w:tab/>
        </w:r>
        <w:r w:rsidR="00353ED4">
          <w:rPr>
            <w:noProof/>
            <w:webHidden/>
          </w:rPr>
          <w:fldChar w:fldCharType="begin"/>
        </w:r>
        <w:r w:rsidR="00353ED4">
          <w:rPr>
            <w:noProof/>
            <w:webHidden/>
          </w:rPr>
          <w:instrText xml:space="preserve"> PAGEREF _Toc254270024 \h </w:instrText>
        </w:r>
        <w:r w:rsidR="00353ED4">
          <w:rPr>
            <w:noProof/>
            <w:webHidden/>
          </w:rPr>
        </w:r>
        <w:r w:rsidR="00353ED4">
          <w:rPr>
            <w:noProof/>
            <w:webHidden/>
          </w:rPr>
          <w:fldChar w:fldCharType="separate"/>
        </w:r>
        <w:r w:rsidR="00353ED4">
          <w:rPr>
            <w:noProof/>
            <w:webHidden/>
          </w:rPr>
          <w:t>11</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25" w:history="1">
        <w:r w:rsidR="00353ED4" w:rsidRPr="003022F3">
          <w:rPr>
            <w:rStyle w:val="Hipervnculo"/>
            <w:noProof/>
          </w:rPr>
          <w:t>3.</w:t>
        </w:r>
        <w:r w:rsidR="00353ED4">
          <w:rPr>
            <w:rFonts w:eastAsia="Times New Roman"/>
            <w:noProof/>
            <w:sz w:val="22"/>
            <w:szCs w:val="22"/>
            <w:lang w:val="es-PE" w:eastAsia="es-PE"/>
          </w:rPr>
          <w:tab/>
        </w:r>
        <w:r w:rsidR="00353ED4" w:rsidRPr="003022F3">
          <w:rPr>
            <w:rStyle w:val="Hipervnculo"/>
            <w:noProof/>
          </w:rPr>
          <w:t>Health sector diagnose</w:t>
        </w:r>
        <w:r w:rsidR="00353ED4">
          <w:rPr>
            <w:noProof/>
            <w:webHidden/>
          </w:rPr>
          <w:tab/>
        </w:r>
        <w:r w:rsidR="00353ED4">
          <w:rPr>
            <w:noProof/>
            <w:webHidden/>
          </w:rPr>
          <w:fldChar w:fldCharType="begin"/>
        </w:r>
        <w:r w:rsidR="00353ED4">
          <w:rPr>
            <w:noProof/>
            <w:webHidden/>
          </w:rPr>
          <w:instrText xml:space="preserve"> PAGEREF _Toc254270025 \h </w:instrText>
        </w:r>
        <w:r w:rsidR="00353ED4">
          <w:rPr>
            <w:noProof/>
            <w:webHidden/>
          </w:rPr>
        </w:r>
        <w:r w:rsidR="00353ED4">
          <w:rPr>
            <w:noProof/>
            <w:webHidden/>
          </w:rPr>
          <w:fldChar w:fldCharType="separate"/>
        </w:r>
        <w:r w:rsidR="00353ED4">
          <w:rPr>
            <w:noProof/>
            <w:webHidden/>
          </w:rPr>
          <w:t>12</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6" w:history="1">
        <w:r w:rsidR="00353ED4" w:rsidRPr="003022F3">
          <w:rPr>
            <w:rStyle w:val="Hipervnculo"/>
            <w:noProof/>
          </w:rPr>
          <w:t>A.</w:t>
        </w:r>
        <w:r w:rsidR="00353ED4">
          <w:rPr>
            <w:rFonts w:eastAsia="Times New Roman"/>
            <w:noProof/>
            <w:sz w:val="22"/>
            <w:szCs w:val="22"/>
            <w:lang w:val="es-PE" w:eastAsia="es-PE"/>
          </w:rPr>
          <w:tab/>
        </w:r>
        <w:r w:rsidR="00353ED4" w:rsidRPr="003022F3">
          <w:rPr>
            <w:rStyle w:val="Hipervnculo"/>
            <w:noProof/>
          </w:rPr>
          <w:t>Main health indicators</w:t>
        </w:r>
        <w:r w:rsidR="00353ED4">
          <w:rPr>
            <w:noProof/>
            <w:webHidden/>
          </w:rPr>
          <w:tab/>
        </w:r>
        <w:r w:rsidR="00353ED4">
          <w:rPr>
            <w:noProof/>
            <w:webHidden/>
          </w:rPr>
          <w:fldChar w:fldCharType="begin"/>
        </w:r>
        <w:r w:rsidR="00353ED4">
          <w:rPr>
            <w:noProof/>
            <w:webHidden/>
          </w:rPr>
          <w:instrText xml:space="preserve"> PAGEREF _Toc254270026 \h </w:instrText>
        </w:r>
        <w:r w:rsidR="00353ED4">
          <w:rPr>
            <w:noProof/>
            <w:webHidden/>
          </w:rPr>
        </w:r>
        <w:r w:rsidR="00353ED4">
          <w:rPr>
            <w:noProof/>
            <w:webHidden/>
          </w:rPr>
          <w:fldChar w:fldCharType="separate"/>
        </w:r>
        <w:r w:rsidR="00353ED4">
          <w:rPr>
            <w:noProof/>
            <w:webHidden/>
          </w:rPr>
          <w:t>12</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7" w:history="1">
        <w:r w:rsidR="00353ED4" w:rsidRPr="003022F3">
          <w:rPr>
            <w:rStyle w:val="Hipervnculo"/>
            <w:noProof/>
          </w:rPr>
          <w:t>B.</w:t>
        </w:r>
        <w:r w:rsidR="00353ED4">
          <w:rPr>
            <w:rFonts w:eastAsia="Times New Roman"/>
            <w:noProof/>
            <w:sz w:val="22"/>
            <w:szCs w:val="22"/>
            <w:lang w:val="es-PE" w:eastAsia="es-PE"/>
          </w:rPr>
          <w:tab/>
        </w:r>
        <w:r w:rsidR="00353ED4" w:rsidRPr="003022F3">
          <w:rPr>
            <w:rStyle w:val="Hipervnculo"/>
            <w:noProof/>
          </w:rPr>
          <w:t>Usage of health services</w:t>
        </w:r>
        <w:r w:rsidR="00353ED4">
          <w:rPr>
            <w:noProof/>
            <w:webHidden/>
          </w:rPr>
          <w:tab/>
        </w:r>
        <w:r w:rsidR="00353ED4">
          <w:rPr>
            <w:noProof/>
            <w:webHidden/>
          </w:rPr>
          <w:fldChar w:fldCharType="begin"/>
        </w:r>
        <w:r w:rsidR="00353ED4">
          <w:rPr>
            <w:noProof/>
            <w:webHidden/>
          </w:rPr>
          <w:instrText xml:space="preserve"> PAGEREF _Toc254270027 \h </w:instrText>
        </w:r>
        <w:r w:rsidR="00353ED4">
          <w:rPr>
            <w:noProof/>
            <w:webHidden/>
          </w:rPr>
        </w:r>
        <w:r w:rsidR="00353ED4">
          <w:rPr>
            <w:noProof/>
            <w:webHidden/>
          </w:rPr>
          <w:fldChar w:fldCharType="separate"/>
        </w:r>
        <w:r w:rsidR="00353ED4">
          <w:rPr>
            <w:noProof/>
            <w:webHidden/>
          </w:rPr>
          <w:t>14</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8" w:history="1">
        <w:r w:rsidR="00353ED4" w:rsidRPr="003022F3">
          <w:rPr>
            <w:rStyle w:val="Hipervnculo"/>
            <w:noProof/>
          </w:rPr>
          <w:t>C.</w:t>
        </w:r>
        <w:r w:rsidR="00353ED4">
          <w:rPr>
            <w:rFonts w:eastAsia="Times New Roman"/>
            <w:noProof/>
            <w:sz w:val="22"/>
            <w:szCs w:val="22"/>
            <w:lang w:val="es-PE" w:eastAsia="es-PE"/>
          </w:rPr>
          <w:tab/>
        </w:r>
        <w:r w:rsidR="00353ED4" w:rsidRPr="003022F3">
          <w:rPr>
            <w:rStyle w:val="Hipervnculo"/>
            <w:noProof/>
          </w:rPr>
          <w:t>Health insurance</w:t>
        </w:r>
        <w:r w:rsidR="00353ED4">
          <w:rPr>
            <w:noProof/>
            <w:webHidden/>
          </w:rPr>
          <w:tab/>
        </w:r>
        <w:r w:rsidR="00353ED4">
          <w:rPr>
            <w:noProof/>
            <w:webHidden/>
          </w:rPr>
          <w:fldChar w:fldCharType="begin"/>
        </w:r>
        <w:r w:rsidR="00353ED4">
          <w:rPr>
            <w:noProof/>
            <w:webHidden/>
          </w:rPr>
          <w:instrText xml:space="preserve"> PAGEREF _Toc254270028 \h </w:instrText>
        </w:r>
        <w:r w:rsidR="00353ED4">
          <w:rPr>
            <w:noProof/>
            <w:webHidden/>
          </w:rPr>
        </w:r>
        <w:r w:rsidR="00353ED4">
          <w:rPr>
            <w:noProof/>
            <w:webHidden/>
          </w:rPr>
          <w:fldChar w:fldCharType="separate"/>
        </w:r>
        <w:r w:rsidR="00353ED4">
          <w:rPr>
            <w:noProof/>
            <w:webHidden/>
          </w:rPr>
          <w:t>18</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29" w:history="1">
        <w:r w:rsidR="00353ED4" w:rsidRPr="003022F3">
          <w:rPr>
            <w:rStyle w:val="Hipervnculo"/>
            <w:noProof/>
          </w:rPr>
          <w:t>D.</w:t>
        </w:r>
        <w:r w:rsidR="00353ED4">
          <w:rPr>
            <w:rFonts w:eastAsia="Times New Roman"/>
            <w:noProof/>
            <w:sz w:val="22"/>
            <w:szCs w:val="22"/>
            <w:lang w:val="es-PE" w:eastAsia="es-PE"/>
          </w:rPr>
          <w:tab/>
        </w:r>
        <w:r w:rsidR="00353ED4" w:rsidRPr="003022F3">
          <w:rPr>
            <w:rStyle w:val="Hipervnculo"/>
            <w:noProof/>
          </w:rPr>
          <w:t>Institutional delivery</w:t>
        </w:r>
        <w:r w:rsidR="00353ED4" w:rsidRPr="003022F3">
          <w:rPr>
            <w:rStyle w:val="Hipervnculo"/>
            <w:noProof/>
            <w:vertAlign w:val="superscript"/>
          </w:rPr>
          <w:t>,</w:t>
        </w:r>
        <w:r w:rsidR="00353ED4">
          <w:rPr>
            <w:noProof/>
            <w:webHidden/>
          </w:rPr>
          <w:tab/>
        </w:r>
        <w:r w:rsidR="00353ED4">
          <w:rPr>
            <w:noProof/>
            <w:webHidden/>
          </w:rPr>
          <w:fldChar w:fldCharType="begin"/>
        </w:r>
        <w:r w:rsidR="00353ED4">
          <w:rPr>
            <w:noProof/>
            <w:webHidden/>
          </w:rPr>
          <w:instrText xml:space="preserve"> PAGEREF _Toc254270029 \h </w:instrText>
        </w:r>
        <w:r w:rsidR="00353ED4">
          <w:rPr>
            <w:noProof/>
            <w:webHidden/>
          </w:rPr>
        </w:r>
        <w:r w:rsidR="00353ED4">
          <w:rPr>
            <w:noProof/>
            <w:webHidden/>
          </w:rPr>
          <w:fldChar w:fldCharType="separate"/>
        </w:r>
        <w:r w:rsidR="00353ED4">
          <w:rPr>
            <w:noProof/>
            <w:webHidden/>
          </w:rPr>
          <w:t>21</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0" w:history="1">
        <w:r w:rsidR="00353ED4" w:rsidRPr="003022F3">
          <w:rPr>
            <w:rStyle w:val="Hipervnculo"/>
            <w:noProof/>
          </w:rPr>
          <w:t>4.</w:t>
        </w:r>
        <w:r w:rsidR="00353ED4">
          <w:rPr>
            <w:rFonts w:eastAsia="Times New Roman"/>
            <w:noProof/>
            <w:sz w:val="22"/>
            <w:szCs w:val="22"/>
            <w:lang w:val="es-PE" w:eastAsia="es-PE"/>
          </w:rPr>
          <w:tab/>
        </w:r>
        <w:r w:rsidR="00353ED4" w:rsidRPr="003022F3">
          <w:rPr>
            <w:rStyle w:val="Hipervnculo"/>
            <w:noProof/>
          </w:rPr>
          <w:t>Performance Based Budget: Maternal and Neonatal Health</w:t>
        </w:r>
        <w:r w:rsidR="00353ED4">
          <w:rPr>
            <w:noProof/>
            <w:webHidden/>
          </w:rPr>
          <w:tab/>
        </w:r>
        <w:r w:rsidR="00353ED4">
          <w:rPr>
            <w:noProof/>
            <w:webHidden/>
          </w:rPr>
          <w:fldChar w:fldCharType="begin"/>
        </w:r>
        <w:r w:rsidR="00353ED4">
          <w:rPr>
            <w:noProof/>
            <w:webHidden/>
          </w:rPr>
          <w:instrText xml:space="preserve"> PAGEREF _Toc254270030 \h </w:instrText>
        </w:r>
        <w:r w:rsidR="00353ED4">
          <w:rPr>
            <w:noProof/>
            <w:webHidden/>
          </w:rPr>
        </w:r>
        <w:r w:rsidR="00353ED4">
          <w:rPr>
            <w:noProof/>
            <w:webHidden/>
          </w:rPr>
          <w:fldChar w:fldCharType="separate"/>
        </w:r>
        <w:r w:rsidR="00353ED4">
          <w:rPr>
            <w:noProof/>
            <w:webHidden/>
          </w:rPr>
          <w:t>30</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31" w:history="1">
        <w:r w:rsidR="00353ED4" w:rsidRPr="003022F3">
          <w:rPr>
            <w:rStyle w:val="Hipervnculo"/>
            <w:noProof/>
          </w:rPr>
          <w:t>A.</w:t>
        </w:r>
        <w:r w:rsidR="00353ED4">
          <w:rPr>
            <w:rFonts w:eastAsia="Times New Roman"/>
            <w:noProof/>
            <w:sz w:val="22"/>
            <w:szCs w:val="22"/>
            <w:lang w:val="es-PE" w:eastAsia="es-PE"/>
          </w:rPr>
          <w:tab/>
        </w:r>
        <w:r w:rsidR="00353ED4" w:rsidRPr="003022F3">
          <w:rPr>
            <w:rStyle w:val="Hipervnculo"/>
            <w:noProof/>
          </w:rPr>
          <w:t>Goals</w:t>
        </w:r>
        <w:r w:rsidR="00353ED4">
          <w:rPr>
            <w:noProof/>
            <w:webHidden/>
          </w:rPr>
          <w:tab/>
        </w:r>
        <w:r w:rsidR="00353ED4">
          <w:rPr>
            <w:noProof/>
            <w:webHidden/>
          </w:rPr>
          <w:fldChar w:fldCharType="begin"/>
        </w:r>
        <w:r w:rsidR="00353ED4">
          <w:rPr>
            <w:noProof/>
            <w:webHidden/>
          </w:rPr>
          <w:instrText xml:space="preserve"> PAGEREF _Toc254270031 \h </w:instrText>
        </w:r>
        <w:r w:rsidR="00353ED4">
          <w:rPr>
            <w:noProof/>
            <w:webHidden/>
          </w:rPr>
        </w:r>
        <w:r w:rsidR="00353ED4">
          <w:rPr>
            <w:noProof/>
            <w:webHidden/>
          </w:rPr>
          <w:fldChar w:fldCharType="separate"/>
        </w:r>
        <w:r w:rsidR="00353ED4">
          <w:rPr>
            <w:noProof/>
            <w:webHidden/>
          </w:rPr>
          <w:t>31</w:t>
        </w:r>
        <w:r w:rsidR="00353ED4">
          <w:rPr>
            <w:noProof/>
            <w:webHidden/>
          </w:rPr>
          <w:fldChar w:fldCharType="end"/>
        </w:r>
      </w:hyperlink>
    </w:p>
    <w:p w:rsidR="00353ED4" w:rsidRDefault="00132204">
      <w:pPr>
        <w:pStyle w:val="TDC1"/>
        <w:tabs>
          <w:tab w:val="left" w:pos="400"/>
          <w:tab w:val="right" w:leader="dot" w:pos="8828"/>
        </w:tabs>
        <w:rPr>
          <w:rFonts w:eastAsia="Times New Roman"/>
          <w:noProof/>
          <w:sz w:val="22"/>
          <w:szCs w:val="22"/>
          <w:lang w:val="es-PE" w:eastAsia="es-PE"/>
        </w:rPr>
      </w:pPr>
      <w:hyperlink w:anchor="_Toc254270032" w:history="1">
        <w:r w:rsidR="00353ED4" w:rsidRPr="003022F3">
          <w:rPr>
            <w:rStyle w:val="Hipervnculo"/>
            <w:noProof/>
          </w:rPr>
          <w:t>II.</w:t>
        </w:r>
        <w:r w:rsidR="00353ED4">
          <w:rPr>
            <w:rFonts w:eastAsia="Times New Roman"/>
            <w:noProof/>
            <w:sz w:val="22"/>
            <w:szCs w:val="22"/>
            <w:lang w:val="es-PE" w:eastAsia="es-PE"/>
          </w:rPr>
          <w:tab/>
        </w:r>
        <w:r w:rsidR="00353ED4" w:rsidRPr="003022F3">
          <w:rPr>
            <w:rStyle w:val="Hipervnculo"/>
            <w:noProof/>
          </w:rPr>
          <w:t>Program budgeting analysis</w:t>
        </w:r>
        <w:r w:rsidR="00353ED4">
          <w:rPr>
            <w:noProof/>
            <w:webHidden/>
          </w:rPr>
          <w:tab/>
        </w:r>
        <w:r w:rsidR="00353ED4">
          <w:rPr>
            <w:noProof/>
            <w:webHidden/>
          </w:rPr>
          <w:fldChar w:fldCharType="begin"/>
        </w:r>
        <w:r w:rsidR="00353ED4">
          <w:rPr>
            <w:noProof/>
            <w:webHidden/>
          </w:rPr>
          <w:instrText xml:space="preserve"> PAGEREF _Toc254270032 \h </w:instrText>
        </w:r>
        <w:r w:rsidR="00353ED4">
          <w:rPr>
            <w:noProof/>
            <w:webHidden/>
          </w:rPr>
        </w:r>
        <w:r w:rsidR="00353ED4">
          <w:rPr>
            <w:noProof/>
            <w:webHidden/>
          </w:rPr>
          <w:fldChar w:fldCharType="separate"/>
        </w:r>
        <w:r w:rsidR="00353ED4">
          <w:rPr>
            <w:noProof/>
            <w:webHidden/>
          </w:rPr>
          <w:t>35</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3" w:history="1">
        <w:r w:rsidR="00353ED4" w:rsidRPr="003022F3">
          <w:rPr>
            <w:rStyle w:val="Hipervnculo"/>
            <w:noProof/>
          </w:rPr>
          <w:t>1.</w:t>
        </w:r>
        <w:r w:rsidR="00353ED4">
          <w:rPr>
            <w:rFonts w:eastAsia="Times New Roman"/>
            <w:noProof/>
            <w:sz w:val="22"/>
            <w:szCs w:val="22"/>
            <w:lang w:val="es-PE" w:eastAsia="es-PE"/>
          </w:rPr>
          <w:tab/>
        </w:r>
        <w:r w:rsidR="00353ED4" w:rsidRPr="003022F3">
          <w:rPr>
            <w:rStyle w:val="Hipervnculo"/>
            <w:noProof/>
          </w:rPr>
          <w:t>Analysis of Health Sector Budget (2006-2009)</w:t>
        </w:r>
        <w:r w:rsidR="00353ED4">
          <w:rPr>
            <w:noProof/>
            <w:webHidden/>
          </w:rPr>
          <w:tab/>
        </w:r>
        <w:r w:rsidR="00353ED4">
          <w:rPr>
            <w:noProof/>
            <w:webHidden/>
          </w:rPr>
          <w:fldChar w:fldCharType="begin"/>
        </w:r>
        <w:r w:rsidR="00353ED4">
          <w:rPr>
            <w:noProof/>
            <w:webHidden/>
          </w:rPr>
          <w:instrText xml:space="preserve"> PAGEREF _Toc254270033 \h </w:instrText>
        </w:r>
        <w:r w:rsidR="00353ED4">
          <w:rPr>
            <w:noProof/>
            <w:webHidden/>
          </w:rPr>
        </w:r>
        <w:r w:rsidR="00353ED4">
          <w:rPr>
            <w:noProof/>
            <w:webHidden/>
          </w:rPr>
          <w:fldChar w:fldCharType="separate"/>
        </w:r>
        <w:r w:rsidR="00353ED4">
          <w:rPr>
            <w:noProof/>
            <w:webHidden/>
          </w:rPr>
          <w:t>35</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4" w:history="1">
        <w:r w:rsidR="00353ED4" w:rsidRPr="003022F3">
          <w:rPr>
            <w:rStyle w:val="Hipervnculo"/>
            <w:noProof/>
          </w:rPr>
          <w:t>2.</w:t>
        </w:r>
        <w:r w:rsidR="00353ED4">
          <w:rPr>
            <w:rFonts w:eastAsia="Times New Roman"/>
            <w:noProof/>
            <w:sz w:val="22"/>
            <w:szCs w:val="22"/>
            <w:lang w:val="es-PE" w:eastAsia="es-PE"/>
          </w:rPr>
          <w:tab/>
        </w:r>
        <w:r w:rsidR="00353ED4" w:rsidRPr="003022F3">
          <w:rPr>
            <w:rStyle w:val="Hipervnculo"/>
            <w:noProof/>
          </w:rPr>
          <w:t>Methodology and assumptions</w:t>
        </w:r>
        <w:r w:rsidR="00353ED4">
          <w:rPr>
            <w:noProof/>
            <w:webHidden/>
          </w:rPr>
          <w:tab/>
        </w:r>
        <w:r w:rsidR="00353ED4">
          <w:rPr>
            <w:noProof/>
            <w:webHidden/>
          </w:rPr>
          <w:fldChar w:fldCharType="begin"/>
        </w:r>
        <w:r w:rsidR="00353ED4">
          <w:rPr>
            <w:noProof/>
            <w:webHidden/>
          </w:rPr>
          <w:instrText xml:space="preserve"> PAGEREF _Toc254270034 \h </w:instrText>
        </w:r>
        <w:r w:rsidR="00353ED4">
          <w:rPr>
            <w:noProof/>
            <w:webHidden/>
          </w:rPr>
        </w:r>
        <w:r w:rsidR="00353ED4">
          <w:rPr>
            <w:noProof/>
            <w:webHidden/>
          </w:rPr>
          <w:fldChar w:fldCharType="separate"/>
        </w:r>
        <w:r w:rsidR="00353ED4">
          <w:rPr>
            <w:noProof/>
            <w:webHidden/>
          </w:rPr>
          <w:t>37</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5" w:history="1">
        <w:r w:rsidR="00353ED4" w:rsidRPr="003022F3">
          <w:rPr>
            <w:rStyle w:val="Hipervnculo"/>
            <w:noProof/>
          </w:rPr>
          <w:t>3.</w:t>
        </w:r>
        <w:r w:rsidR="00353ED4">
          <w:rPr>
            <w:rFonts w:eastAsia="Times New Roman"/>
            <w:noProof/>
            <w:sz w:val="22"/>
            <w:szCs w:val="22"/>
            <w:lang w:val="es-PE" w:eastAsia="es-PE"/>
          </w:rPr>
          <w:tab/>
        </w:r>
        <w:r w:rsidR="00353ED4" w:rsidRPr="003022F3">
          <w:rPr>
            <w:rStyle w:val="Hipervnculo"/>
            <w:noProof/>
          </w:rPr>
          <w:t>Tables for Program Budgeting Analysis</w:t>
        </w:r>
        <w:r w:rsidR="00353ED4">
          <w:rPr>
            <w:noProof/>
            <w:webHidden/>
          </w:rPr>
          <w:tab/>
        </w:r>
        <w:r w:rsidR="00353ED4">
          <w:rPr>
            <w:noProof/>
            <w:webHidden/>
          </w:rPr>
          <w:fldChar w:fldCharType="begin"/>
        </w:r>
        <w:r w:rsidR="00353ED4">
          <w:rPr>
            <w:noProof/>
            <w:webHidden/>
          </w:rPr>
          <w:instrText xml:space="preserve"> PAGEREF _Toc254270035 \h </w:instrText>
        </w:r>
        <w:r w:rsidR="00353ED4">
          <w:rPr>
            <w:noProof/>
            <w:webHidden/>
          </w:rPr>
        </w:r>
        <w:r w:rsidR="00353ED4">
          <w:rPr>
            <w:noProof/>
            <w:webHidden/>
          </w:rPr>
          <w:fldChar w:fldCharType="separate"/>
        </w:r>
        <w:r w:rsidR="00353ED4">
          <w:rPr>
            <w:noProof/>
            <w:webHidden/>
          </w:rPr>
          <w:t>38</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6" w:history="1">
        <w:r w:rsidR="00353ED4" w:rsidRPr="003022F3">
          <w:rPr>
            <w:rStyle w:val="Hipervnculo"/>
            <w:noProof/>
          </w:rPr>
          <w:t>4.</w:t>
        </w:r>
        <w:r w:rsidR="00353ED4">
          <w:rPr>
            <w:rFonts w:eastAsia="Times New Roman"/>
            <w:noProof/>
            <w:sz w:val="22"/>
            <w:szCs w:val="22"/>
            <w:lang w:val="es-PE" w:eastAsia="es-PE"/>
          </w:rPr>
          <w:tab/>
        </w:r>
        <w:r w:rsidR="00353ED4" w:rsidRPr="003022F3">
          <w:rPr>
            <w:rStyle w:val="Hipervnculo"/>
            <w:noProof/>
          </w:rPr>
          <w:t>Tables of Health Services Financing</w:t>
        </w:r>
        <w:r w:rsidR="00353ED4">
          <w:rPr>
            <w:noProof/>
            <w:webHidden/>
          </w:rPr>
          <w:tab/>
        </w:r>
        <w:r w:rsidR="00353ED4">
          <w:rPr>
            <w:noProof/>
            <w:webHidden/>
          </w:rPr>
          <w:fldChar w:fldCharType="begin"/>
        </w:r>
        <w:r w:rsidR="00353ED4">
          <w:rPr>
            <w:noProof/>
            <w:webHidden/>
          </w:rPr>
          <w:instrText xml:space="preserve"> PAGEREF _Toc254270036 \h </w:instrText>
        </w:r>
        <w:r w:rsidR="00353ED4">
          <w:rPr>
            <w:noProof/>
            <w:webHidden/>
          </w:rPr>
        </w:r>
        <w:r w:rsidR="00353ED4">
          <w:rPr>
            <w:noProof/>
            <w:webHidden/>
          </w:rPr>
          <w:fldChar w:fldCharType="separate"/>
        </w:r>
        <w:r w:rsidR="00353ED4">
          <w:rPr>
            <w:noProof/>
            <w:webHidden/>
          </w:rPr>
          <w:t>45</w:t>
        </w:r>
        <w:r w:rsidR="00353ED4">
          <w:rPr>
            <w:noProof/>
            <w:webHidden/>
          </w:rPr>
          <w:fldChar w:fldCharType="end"/>
        </w:r>
      </w:hyperlink>
    </w:p>
    <w:p w:rsidR="00353ED4" w:rsidRDefault="00132204">
      <w:pPr>
        <w:pStyle w:val="TDC1"/>
        <w:tabs>
          <w:tab w:val="left" w:pos="660"/>
          <w:tab w:val="right" w:leader="dot" w:pos="8828"/>
        </w:tabs>
        <w:rPr>
          <w:rFonts w:eastAsia="Times New Roman"/>
          <w:noProof/>
          <w:sz w:val="22"/>
          <w:szCs w:val="22"/>
          <w:lang w:val="es-PE" w:eastAsia="es-PE"/>
        </w:rPr>
      </w:pPr>
      <w:hyperlink w:anchor="_Toc254270037" w:history="1">
        <w:r w:rsidR="00353ED4" w:rsidRPr="003022F3">
          <w:rPr>
            <w:rStyle w:val="Hipervnculo"/>
            <w:noProof/>
          </w:rPr>
          <w:t>III.</w:t>
        </w:r>
        <w:r w:rsidR="00353ED4">
          <w:rPr>
            <w:rFonts w:eastAsia="Times New Roman"/>
            <w:noProof/>
            <w:sz w:val="22"/>
            <w:szCs w:val="22"/>
            <w:lang w:val="es-PE" w:eastAsia="es-PE"/>
          </w:rPr>
          <w:tab/>
        </w:r>
        <w:r w:rsidR="00353ED4" w:rsidRPr="003022F3">
          <w:rPr>
            <w:rStyle w:val="Hipervnculo"/>
            <w:noProof/>
          </w:rPr>
          <w:t>Benefit incidence analysis</w:t>
        </w:r>
        <w:r w:rsidR="00353ED4">
          <w:rPr>
            <w:noProof/>
            <w:webHidden/>
          </w:rPr>
          <w:tab/>
        </w:r>
        <w:r w:rsidR="00353ED4">
          <w:rPr>
            <w:noProof/>
            <w:webHidden/>
          </w:rPr>
          <w:fldChar w:fldCharType="begin"/>
        </w:r>
        <w:r w:rsidR="00353ED4">
          <w:rPr>
            <w:noProof/>
            <w:webHidden/>
          </w:rPr>
          <w:instrText xml:space="preserve"> PAGEREF _Toc254270037 \h </w:instrText>
        </w:r>
        <w:r w:rsidR="00353ED4">
          <w:rPr>
            <w:noProof/>
            <w:webHidden/>
          </w:rPr>
        </w:r>
        <w:r w:rsidR="00353ED4">
          <w:rPr>
            <w:noProof/>
            <w:webHidden/>
          </w:rPr>
          <w:fldChar w:fldCharType="separate"/>
        </w:r>
        <w:r w:rsidR="00353ED4">
          <w:rPr>
            <w:noProof/>
            <w:webHidden/>
          </w:rPr>
          <w:t>47</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38" w:history="1">
        <w:r w:rsidR="00353ED4" w:rsidRPr="003022F3">
          <w:rPr>
            <w:rStyle w:val="Hipervnculo"/>
            <w:noProof/>
          </w:rPr>
          <w:t>1.</w:t>
        </w:r>
        <w:r w:rsidR="00353ED4">
          <w:rPr>
            <w:rFonts w:eastAsia="Times New Roman"/>
            <w:noProof/>
            <w:sz w:val="22"/>
            <w:szCs w:val="22"/>
            <w:lang w:val="es-PE" w:eastAsia="es-PE"/>
          </w:rPr>
          <w:tab/>
        </w:r>
        <w:r w:rsidR="00353ED4" w:rsidRPr="003022F3">
          <w:rPr>
            <w:rStyle w:val="Hipervnculo"/>
            <w:noProof/>
          </w:rPr>
          <w:t>Unitary Subsidy</w:t>
        </w:r>
        <w:r w:rsidR="00353ED4">
          <w:rPr>
            <w:noProof/>
            <w:webHidden/>
          </w:rPr>
          <w:tab/>
        </w:r>
        <w:r w:rsidR="00353ED4">
          <w:rPr>
            <w:noProof/>
            <w:webHidden/>
          </w:rPr>
          <w:fldChar w:fldCharType="begin"/>
        </w:r>
        <w:r w:rsidR="00353ED4">
          <w:rPr>
            <w:noProof/>
            <w:webHidden/>
          </w:rPr>
          <w:instrText xml:space="preserve"> PAGEREF _Toc254270038 \h </w:instrText>
        </w:r>
        <w:r w:rsidR="00353ED4">
          <w:rPr>
            <w:noProof/>
            <w:webHidden/>
          </w:rPr>
        </w:r>
        <w:r w:rsidR="00353ED4">
          <w:rPr>
            <w:noProof/>
            <w:webHidden/>
          </w:rPr>
          <w:fldChar w:fldCharType="separate"/>
        </w:r>
        <w:r w:rsidR="00353ED4">
          <w:rPr>
            <w:noProof/>
            <w:webHidden/>
          </w:rPr>
          <w:t>47</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39" w:history="1">
        <w:r w:rsidR="00353ED4" w:rsidRPr="003022F3">
          <w:rPr>
            <w:rStyle w:val="Hipervnculo"/>
            <w:noProof/>
          </w:rPr>
          <w:t>A)</w:t>
        </w:r>
        <w:r w:rsidR="00353ED4">
          <w:rPr>
            <w:rFonts w:eastAsia="Times New Roman"/>
            <w:noProof/>
            <w:sz w:val="22"/>
            <w:szCs w:val="22"/>
            <w:lang w:val="es-PE" w:eastAsia="es-PE"/>
          </w:rPr>
          <w:tab/>
        </w:r>
        <w:r w:rsidR="00353ED4" w:rsidRPr="003022F3">
          <w:rPr>
            <w:rStyle w:val="Hipervnculo"/>
            <w:noProof/>
          </w:rPr>
          <w:t>Methodology and Assumptions</w:t>
        </w:r>
        <w:r w:rsidR="00353ED4">
          <w:rPr>
            <w:noProof/>
            <w:webHidden/>
          </w:rPr>
          <w:tab/>
        </w:r>
        <w:r w:rsidR="00353ED4">
          <w:rPr>
            <w:noProof/>
            <w:webHidden/>
          </w:rPr>
          <w:fldChar w:fldCharType="begin"/>
        </w:r>
        <w:r w:rsidR="00353ED4">
          <w:rPr>
            <w:noProof/>
            <w:webHidden/>
          </w:rPr>
          <w:instrText xml:space="preserve"> PAGEREF _Toc254270039 \h </w:instrText>
        </w:r>
        <w:r w:rsidR="00353ED4">
          <w:rPr>
            <w:noProof/>
            <w:webHidden/>
          </w:rPr>
        </w:r>
        <w:r w:rsidR="00353ED4">
          <w:rPr>
            <w:noProof/>
            <w:webHidden/>
          </w:rPr>
          <w:fldChar w:fldCharType="separate"/>
        </w:r>
        <w:r w:rsidR="00353ED4">
          <w:rPr>
            <w:noProof/>
            <w:webHidden/>
          </w:rPr>
          <w:t>47</w:t>
        </w:r>
        <w:r w:rsidR="00353ED4">
          <w:rPr>
            <w:noProof/>
            <w:webHidden/>
          </w:rPr>
          <w:fldChar w:fldCharType="end"/>
        </w:r>
      </w:hyperlink>
    </w:p>
    <w:p w:rsidR="00353ED4" w:rsidRDefault="00132204">
      <w:pPr>
        <w:pStyle w:val="TDC3"/>
        <w:tabs>
          <w:tab w:val="left" w:pos="880"/>
          <w:tab w:val="right" w:leader="dot" w:pos="8828"/>
        </w:tabs>
        <w:rPr>
          <w:rFonts w:eastAsia="Times New Roman"/>
          <w:noProof/>
          <w:sz w:val="22"/>
          <w:szCs w:val="22"/>
          <w:lang w:val="es-PE" w:eastAsia="es-PE"/>
        </w:rPr>
      </w:pPr>
      <w:hyperlink w:anchor="_Toc254270040" w:history="1">
        <w:r w:rsidR="00353ED4" w:rsidRPr="003022F3">
          <w:rPr>
            <w:rStyle w:val="Hipervnculo"/>
            <w:noProof/>
          </w:rPr>
          <w:t>B)</w:t>
        </w:r>
        <w:r w:rsidR="00353ED4">
          <w:rPr>
            <w:rFonts w:eastAsia="Times New Roman"/>
            <w:noProof/>
            <w:sz w:val="22"/>
            <w:szCs w:val="22"/>
            <w:lang w:val="es-PE" w:eastAsia="es-PE"/>
          </w:rPr>
          <w:tab/>
        </w:r>
        <w:r w:rsidR="00353ED4" w:rsidRPr="003022F3">
          <w:rPr>
            <w:rStyle w:val="Hipervnculo"/>
            <w:noProof/>
          </w:rPr>
          <w:t>Subsidies per user</w:t>
        </w:r>
        <w:r w:rsidR="00353ED4">
          <w:rPr>
            <w:noProof/>
            <w:webHidden/>
          </w:rPr>
          <w:tab/>
        </w:r>
        <w:r w:rsidR="00353ED4">
          <w:rPr>
            <w:noProof/>
            <w:webHidden/>
          </w:rPr>
          <w:fldChar w:fldCharType="begin"/>
        </w:r>
        <w:r w:rsidR="00353ED4">
          <w:rPr>
            <w:noProof/>
            <w:webHidden/>
          </w:rPr>
          <w:instrText xml:space="preserve"> PAGEREF _Toc254270040 \h </w:instrText>
        </w:r>
        <w:r w:rsidR="00353ED4">
          <w:rPr>
            <w:noProof/>
            <w:webHidden/>
          </w:rPr>
        </w:r>
        <w:r w:rsidR="00353ED4">
          <w:rPr>
            <w:noProof/>
            <w:webHidden/>
          </w:rPr>
          <w:fldChar w:fldCharType="separate"/>
        </w:r>
        <w:r w:rsidR="00353ED4">
          <w:rPr>
            <w:noProof/>
            <w:webHidden/>
          </w:rPr>
          <w:t>48</w:t>
        </w:r>
        <w:r w:rsidR="00353ED4">
          <w:rPr>
            <w:noProof/>
            <w:webHidden/>
          </w:rPr>
          <w:fldChar w:fldCharType="end"/>
        </w:r>
      </w:hyperlink>
    </w:p>
    <w:p w:rsidR="00353ED4" w:rsidRDefault="00132204">
      <w:pPr>
        <w:pStyle w:val="TDC1"/>
        <w:tabs>
          <w:tab w:val="left" w:pos="660"/>
          <w:tab w:val="right" w:leader="dot" w:pos="8828"/>
        </w:tabs>
        <w:rPr>
          <w:rFonts w:eastAsia="Times New Roman"/>
          <w:noProof/>
          <w:sz w:val="22"/>
          <w:szCs w:val="22"/>
          <w:lang w:val="es-PE" w:eastAsia="es-PE"/>
        </w:rPr>
      </w:pPr>
      <w:hyperlink w:anchor="_Toc254270041" w:history="1">
        <w:r w:rsidR="00353ED4" w:rsidRPr="003022F3">
          <w:rPr>
            <w:rStyle w:val="Hipervnculo"/>
            <w:noProof/>
          </w:rPr>
          <w:t>IV.</w:t>
        </w:r>
        <w:r w:rsidR="00353ED4">
          <w:rPr>
            <w:rFonts w:eastAsia="Times New Roman"/>
            <w:noProof/>
            <w:sz w:val="22"/>
            <w:szCs w:val="22"/>
            <w:lang w:val="es-PE" w:eastAsia="es-PE"/>
          </w:rPr>
          <w:tab/>
        </w:r>
        <w:r w:rsidR="00353ED4" w:rsidRPr="003022F3">
          <w:rPr>
            <w:rStyle w:val="Hipervnculo"/>
            <w:noProof/>
          </w:rPr>
          <w:t>Analysis of Maternal and Neonatal Health program</w:t>
        </w:r>
        <w:r w:rsidR="00353ED4">
          <w:rPr>
            <w:noProof/>
            <w:webHidden/>
          </w:rPr>
          <w:tab/>
        </w:r>
        <w:r w:rsidR="00353ED4">
          <w:rPr>
            <w:noProof/>
            <w:webHidden/>
          </w:rPr>
          <w:fldChar w:fldCharType="begin"/>
        </w:r>
        <w:r w:rsidR="00353ED4">
          <w:rPr>
            <w:noProof/>
            <w:webHidden/>
          </w:rPr>
          <w:instrText xml:space="preserve"> PAGEREF _Toc254270041 \h </w:instrText>
        </w:r>
        <w:r w:rsidR="00353ED4">
          <w:rPr>
            <w:noProof/>
            <w:webHidden/>
          </w:rPr>
        </w:r>
        <w:r w:rsidR="00353ED4">
          <w:rPr>
            <w:noProof/>
            <w:webHidden/>
          </w:rPr>
          <w:fldChar w:fldCharType="separate"/>
        </w:r>
        <w:r w:rsidR="00353ED4">
          <w:rPr>
            <w:noProof/>
            <w:webHidden/>
          </w:rPr>
          <w:t>52</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42" w:history="1">
        <w:r w:rsidR="00353ED4" w:rsidRPr="003022F3">
          <w:rPr>
            <w:rStyle w:val="Hipervnculo"/>
            <w:noProof/>
          </w:rPr>
          <w:t>5.</w:t>
        </w:r>
        <w:r w:rsidR="00353ED4">
          <w:rPr>
            <w:rFonts w:eastAsia="Times New Roman"/>
            <w:noProof/>
            <w:sz w:val="22"/>
            <w:szCs w:val="22"/>
            <w:lang w:val="es-PE" w:eastAsia="es-PE"/>
          </w:rPr>
          <w:tab/>
        </w:r>
        <w:r w:rsidR="00353ED4" w:rsidRPr="003022F3">
          <w:rPr>
            <w:rStyle w:val="Hipervnculo"/>
            <w:noProof/>
          </w:rPr>
          <w:t>Program Budgeting Analysis: PSMN Program</w:t>
        </w:r>
        <w:r w:rsidR="00353ED4">
          <w:rPr>
            <w:noProof/>
            <w:webHidden/>
          </w:rPr>
          <w:tab/>
        </w:r>
        <w:r w:rsidR="00353ED4">
          <w:rPr>
            <w:noProof/>
            <w:webHidden/>
          </w:rPr>
          <w:fldChar w:fldCharType="begin"/>
        </w:r>
        <w:r w:rsidR="00353ED4">
          <w:rPr>
            <w:noProof/>
            <w:webHidden/>
          </w:rPr>
          <w:instrText xml:space="preserve"> PAGEREF _Toc254270042 \h </w:instrText>
        </w:r>
        <w:r w:rsidR="00353ED4">
          <w:rPr>
            <w:noProof/>
            <w:webHidden/>
          </w:rPr>
        </w:r>
        <w:r w:rsidR="00353ED4">
          <w:rPr>
            <w:noProof/>
            <w:webHidden/>
          </w:rPr>
          <w:fldChar w:fldCharType="separate"/>
        </w:r>
        <w:r w:rsidR="00353ED4">
          <w:rPr>
            <w:noProof/>
            <w:webHidden/>
          </w:rPr>
          <w:t>53</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43" w:history="1">
        <w:r w:rsidR="00353ED4" w:rsidRPr="003022F3">
          <w:rPr>
            <w:rStyle w:val="Hipervnculo"/>
            <w:noProof/>
          </w:rPr>
          <w:t>6.</w:t>
        </w:r>
        <w:r w:rsidR="00353ED4">
          <w:rPr>
            <w:rFonts w:eastAsia="Times New Roman"/>
            <w:noProof/>
            <w:sz w:val="22"/>
            <w:szCs w:val="22"/>
            <w:lang w:val="es-PE" w:eastAsia="es-PE"/>
          </w:rPr>
          <w:tab/>
        </w:r>
        <w:r w:rsidR="00353ED4" w:rsidRPr="003022F3">
          <w:rPr>
            <w:rStyle w:val="Hipervnculo"/>
            <w:noProof/>
          </w:rPr>
          <w:t>benefit incidence Analysis: PSMN Program</w:t>
        </w:r>
        <w:r w:rsidR="00353ED4">
          <w:rPr>
            <w:noProof/>
            <w:webHidden/>
          </w:rPr>
          <w:tab/>
        </w:r>
        <w:r w:rsidR="00353ED4">
          <w:rPr>
            <w:noProof/>
            <w:webHidden/>
          </w:rPr>
          <w:fldChar w:fldCharType="begin"/>
        </w:r>
        <w:r w:rsidR="00353ED4">
          <w:rPr>
            <w:noProof/>
            <w:webHidden/>
          </w:rPr>
          <w:instrText xml:space="preserve"> PAGEREF _Toc254270043 \h </w:instrText>
        </w:r>
        <w:r w:rsidR="00353ED4">
          <w:rPr>
            <w:noProof/>
            <w:webHidden/>
          </w:rPr>
        </w:r>
        <w:r w:rsidR="00353ED4">
          <w:rPr>
            <w:noProof/>
            <w:webHidden/>
          </w:rPr>
          <w:fldChar w:fldCharType="separate"/>
        </w:r>
        <w:r w:rsidR="00353ED4">
          <w:rPr>
            <w:noProof/>
            <w:webHidden/>
          </w:rPr>
          <w:t>57</w:t>
        </w:r>
        <w:r w:rsidR="00353ED4">
          <w:rPr>
            <w:noProof/>
            <w:webHidden/>
          </w:rPr>
          <w:fldChar w:fldCharType="end"/>
        </w:r>
      </w:hyperlink>
    </w:p>
    <w:p w:rsidR="00353ED4" w:rsidRDefault="00132204">
      <w:pPr>
        <w:pStyle w:val="TDC1"/>
        <w:tabs>
          <w:tab w:val="left" w:pos="400"/>
          <w:tab w:val="right" w:leader="dot" w:pos="8828"/>
        </w:tabs>
        <w:rPr>
          <w:rFonts w:eastAsia="Times New Roman"/>
          <w:noProof/>
          <w:sz w:val="22"/>
          <w:szCs w:val="22"/>
          <w:lang w:val="es-PE" w:eastAsia="es-PE"/>
        </w:rPr>
      </w:pPr>
      <w:hyperlink w:anchor="_Toc254270044" w:history="1">
        <w:r w:rsidR="00353ED4" w:rsidRPr="003022F3">
          <w:rPr>
            <w:rStyle w:val="Hipervnculo"/>
            <w:noProof/>
          </w:rPr>
          <w:t>V.</w:t>
        </w:r>
        <w:r w:rsidR="00353ED4">
          <w:rPr>
            <w:rFonts w:eastAsia="Times New Roman"/>
            <w:noProof/>
            <w:sz w:val="22"/>
            <w:szCs w:val="22"/>
            <w:lang w:val="es-PE" w:eastAsia="es-PE"/>
          </w:rPr>
          <w:tab/>
        </w:r>
        <w:r w:rsidR="00353ED4" w:rsidRPr="003022F3">
          <w:rPr>
            <w:rStyle w:val="Hipervnculo"/>
            <w:noProof/>
          </w:rPr>
          <w:t>Conclussions</w:t>
        </w:r>
        <w:r w:rsidR="00353ED4">
          <w:rPr>
            <w:noProof/>
            <w:webHidden/>
          </w:rPr>
          <w:tab/>
        </w:r>
        <w:r w:rsidR="00353ED4">
          <w:rPr>
            <w:noProof/>
            <w:webHidden/>
          </w:rPr>
          <w:fldChar w:fldCharType="begin"/>
        </w:r>
        <w:r w:rsidR="00353ED4">
          <w:rPr>
            <w:noProof/>
            <w:webHidden/>
          </w:rPr>
          <w:instrText xml:space="preserve"> PAGEREF _Toc254270044 \h </w:instrText>
        </w:r>
        <w:r w:rsidR="00353ED4">
          <w:rPr>
            <w:noProof/>
            <w:webHidden/>
          </w:rPr>
        </w:r>
        <w:r w:rsidR="00353ED4">
          <w:rPr>
            <w:noProof/>
            <w:webHidden/>
          </w:rPr>
          <w:fldChar w:fldCharType="separate"/>
        </w:r>
        <w:r w:rsidR="00353ED4">
          <w:rPr>
            <w:noProof/>
            <w:webHidden/>
          </w:rPr>
          <w:t>59</w:t>
        </w:r>
        <w:r w:rsidR="00353ED4">
          <w:rPr>
            <w:noProof/>
            <w:webHidden/>
          </w:rPr>
          <w:fldChar w:fldCharType="end"/>
        </w:r>
      </w:hyperlink>
    </w:p>
    <w:p w:rsidR="00353ED4" w:rsidRDefault="00132204">
      <w:pPr>
        <w:pStyle w:val="TDC1"/>
        <w:tabs>
          <w:tab w:val="right" w:leader="dot" w:pos="8828"/>
        </w:tabs>
        <w:rPr>
          <w:rFonts w:eastAsia="Times New Roman"/>
          <w:noProof/>
          <w:sz w:val="22"/>
          <w:szCs w:val="22"/>
          <w:lang w:val="es-PE" w:eastAsia="es-PE"/>
        </w:rPr>
      </w:pPr>
      <w:hyperlink w:anchor="_Toc254270045" w:history="1">
        <w:r w:rsidR="00353ED4" w:rsidRPr="003022F3">
          <w:rPr>
            <w:rStyle w:val="Hipervnculo"/>
            <w:noProof/>
          </w:rPr>
          <w:t>Challenges</w:t>
        </w:r>
        <w:r w:rsidR="00353ED4">
          <w:rPr>
            <w:noProof/>
            <w:webHidden/>
          </w:rPr>
          <w:tab/>
        </w:r>
        <w:r w:rsidR="00353ED4">
          <w:rPr>
            <w:noProof/>
            <w:webHidden/>
          </w:rPr>
          <w:fldChar w:fldCharType="begin"/>
        </w:r>
        <w:r w:rsidR="00353ED4">
          <w:rPr>
            <w:noProof/>
            <w:webHidden/>
          </w:rPr>
          <w:instrText xml:space="preserve"> PAGEREF _Toc254270045 \h </w:instrText>
        </w:r>
        <w:r w:rsidR="00353ED4">
          <w:rPr>
            <w:noProof/>
            <w:webHidden/>
          </w:rPr>
        </w:r>
        <w:r w:rsidR="00353ED4">
          <w:rPr>
            <w:noProof/>
            <w:webHidden/>
          </w:rPr>
          <w:fldChar w:fldCharType="separate"/>
        </w:r>
        <w:r w:rsidR="00353ED4">
          <w:rPr>
            <w:noProof/>
            <w:webHidden/>
          </w:rPr>
          <w:t>63</w:t>
        </w:r>
        <w:r w:rsidR="00353ED4">
          <w:rPr>
            <w:noProof/>
            <w:webHidden/>
          </w:rPr>
          <w:fldChar w:fldCharType="end"/>
        </w:r>
      </w:hyperlink>
    </w:p>
    <w:p w:rsidR="00353ED4" w:rsidRDefault="00132204">
      <w:pPr>
        <w:pStyle w:val="TDC1"/>
        <w:tabs>
          <w:tab w:val="right" w:leader="dot" w:pos="8828"/>
        </w:tabs>
        <w:rPr>
          <w:rFonts w:eastAsia="Times New Roman"/>
          <w:noProof/>
          <w:sz w:val="22"/>
          <w:szCs w:val="22"/>
          <w:lang w:val="es-PE" w:eastAsia="es-PE"/>
        </w:rPr>
      </w:pPr>
      <w:hyperlink w:anchor="_Toc254270046" w:history="1">
        <w:r w:rsidR="00353ED4" w:rsidRPr="003022F3">
          <w:rPr>
            <w:rStyle w:val="Hipervnculo"/>
            <w:noProof/>
          </w:rPr>
          <w:t>Possible extensions</w:t>
        </w:r>
        <w:r w:rsidR="00353ED4">
          <w:rPr>
            <w:noProof/>
            <w:webHidden/>
          </w:rPr>
          <w:tab/>
        </w:r>
        <w:r w:rsidR="00353ED4">
          <w:rPr>
            <w:noProof/>
            <w:webHidden/>
          </w:rPr>
          <w:fldChar w:fldCharType="begin"/>
        </w:r>
        <w:r w:rsidR="00353ED4">
          <w:rPr>
            <w:noProof/>
            <w:webHidden/>
          </w:rPr>
          <w:instrText xml:space="preserve"> PAGEREF _Toc254270046 \h </w:instrText>
        </w:r>
        <w:r w:rsidR="00353ED4">
          <w:rPr>
            <w:noProof/>
            <w:webHidden/>
          </w:rPr>
        </w:r>
        <w:r w:rsidR="00353ED4">
          <w:rPr>
            <w:noProof/>
            <w:webHidden/>
          </w:rPr>
          <w:fldChar w:fldCharType="separate"/>
        </w:r>
        <w:r w:rsidR="00353ED4">
          <w:rPr>
            <w:noProof/>
            <w:webHidden/>
          </w:rPr>
          <w:t>64</w:t>
        </w:r>
        <w:r w:rsidR="00353ED4">
          <w:rPr>
            <w:noProof/>
            <w:webHidden/>
          </w:rPr>
          <w:fldChar w:fldCharType="end"/>
        </w:r>
      </w:hyperlink>
    </w:p>
    <w:p w:rsidR="00353ED4" w:rsidRDefault="00132204">
      <w:pPr>
        <w:pStyle w:val="TDC1"/>
        <w:tabs>
          <w:tab w:val="right" w:leader="dot" w:pos="8828"/>
        </w:tabs>
        <w:rPr>
          <w:rFonts w:eastAsia="Times New Roman"/>
          <w:noProof/>
          <w:sz w:val="22"/>
          <w:szCs w:val="22"/>
          <w:lang w:val="es-PE" w:eastAsia="es-PE"/>
        </w:rPr>
      </w:pPr>
      <w:hyperlink w:anchor="_Toc254270047" w:history="1">
        <w:r w:rsidR="00353ED4" w:rsidRPr="003022F3">
          <w:rPr>
            <w:rStyle w:val="Hipervnculo"/>
            <w:noProof/>
          </w:rPr>
          <w:t>Plans for dissemination</w:t>
        </w:r>
        <w:r w:rsidR="00353ED4">
          <w:rPr>
            <w:noProof/>
            <w:webHidden/>
          </w:rPr>
          <w:tab/>
        </w:r>
        <w:r w:rsidR="00353ED4">
          <w:rPr>
            <w:noProof/>
            <w:webHidden/>
          </w:rPr>
          <w:fldChar w:fldCharType="begin"/>
        </w:r>
        <w:r w:rsidR="00353ED4">
          <w:rPr>
            <w:noProof/>
            <w:webHidden/>
          </w:rPr>
          <w:instrText xml:space="preserve"> PAGEREF _Toc254270047 \h </w:instrText>
        </w:r>
        <w:r w:rsidR="00353ED4">
          <w:rPr>
            <w:noProof/>
            <w:webHidden/>
          </w:rPr>
        </w:r>
        <w:r w:rsidR="00353ED4">
          <w:rPr>
            <w:noProof/>
            <w:webHidden/>
          </w:rPr>
          <w:fldChar w:fldCharType="separate"/>
        </w:r>
        <w:r w:rsidR="00353ED4">
          <w:rPr>
            <w:noProof/>
            <w:webHidden/>
          </w:rPr>
          <w:t>66</w:t>
        </w:r>
        <w:r w:rsidR="00353ED4">
          <w:rPr>
            <w:noProof/>
            <w:webHidden/>
          </w:rPr>
          <w:fldChar w:fldCharType="end"/>
        </w:r>
      </w:hyperlink>
    </w:p>
    <w:p w:rsidR="00353ED4" w:rsidRDefault="00132204">
      <w:pPr>
        <w:pStyle w:val="TDC1"/>
        <w:tabs>
          <w:tab w:val="left" w:pos="660"/>
          <w:tab w:val="right" w:leader="dot" w:pos="8828"/>
        </w:tabs>
        <w:rPr>
          <w:rFonts w:eastAsia="Times New Roman"/>
          <w:noProof/>
          <w:sz w:val="22"/>
          <w:szCs w:val="22"/>
          <w:lang w:val="es-PE" w:eastAsia="es-PE"/>
        </w:rPr>
      </w:pPr>
      <w:hyperlink w:anchor="_Toc254270048" w:history="1">
        <w:r w:rsidR="00353ED4" w:rsidRPr="003022F3">
          <w:rPr>
            <w:rStyle w:val="Hipervnculo"/>
            <w:noProof/>
          </w:rPr>
          <w:t>VI.</w:t>
        </w:r>
        <w:r w:rsidR="00353ED4">
          <w:rPr>
            <w:rFonts w:eastAsia="Times New Roman"/>
            <w:noProof/>
            <w:sz w:val="22"/>
            <w:szCs w:val="22"/>
            <w:lang w:val="es-PE" w:eastAsia="es-PE"/>
          </w:rPr>
          <w:tab/>
        </w:r>
        <w:r w:rsidR="00353ED4" w:rsidRPr="003022F3">
          <w:rPr>
            <w:rStyle w:val="Hipervnculo"/>
            <w:noProof/>
          </w:rPr>
          <w:t>Bibliography</w:t>
        </w:r>
        <w:r w:rsidR="00353ED4">
          <w:rPr>
            <w:noProof/>
            <w:webHidden/>
          </w:rPr>
          <w:tab/>
        </w:r>
        <w:r w:rsidR="00353ED4">
          <w:rPr>
            <w:noProof/>
            <w:webHidden/>
          </w:rPr>
          <w:fldChar w:fldCharType="begin"/>
        </w:r>
        <w:r w:rsidR="00353ED4">
          <w:rPr>
            <w:noProof/>
            <w:webHidden/>
          </w:rPr>
          <w:instrText xml:space="preserve"> PAGEREF _Toc254270048 \h </w:instrText>
        </w:r>
        <w:r w:rsidR="00353ED4">
          <w:rPr>
            <w:noProof/>
            <w:webHidden/>
          </w:rPr>
        </w:r>
        <w:r w:rsidR="00353ED4">
          <w:rPr>
            <w:noProof/>
            <w:webHidden/>
          </w:rPr>
          <w:fldChar w:fldCharType="separate"/>
        </w:r>
        <w:r w:rsidR="00353ED4">
          <w:rPr>
            <w:noProof/>
            <w:webHidden/>
          </w:rPr>
          <w:t>67</w:t>
        </w:r>
        <w:r w:rsidR="00353ED4">
          <w:rPr>
            <w:noProof/>
            <w:webHidden/>
          </w:rPr>
          <w:fldChar w:fldCharType="end"/>
        </w:r>
      </w:hyperlink>
    </w:p>
    <w:p w:rsidR="00353ED4" w:rsidRDefault="00132204">
      <w:pPr>
        <w:pStyle w:val="TDC1"/>
        <w:tabs>
          <w:tab w:val="left" w:pos="660"/>
          <w:tab w:val="right" w:leader="dot" w:pos="8828"/>
        </w:tabs>
        <w:rPr>
          <w:rFonts w:eastAsia="Times New Roman"/>
          <w:noProof/>
          <w:sz w:val="22"/>
          <w:szCs w:val="22"/>
          <w:lang w:val="es-PE" w:eastAsia="es-PE"/>
        </w:rPr>
      </w:pPr>
      <w:hyperlink w:anchor="_Toc254270049" w:history="1">
        <w:r w:rsidR="00353ED4" w:rsidRPr="003022F3">
          <w:rPr>
            <w:rStyle w:val="Hipervnculo"/>
            <w:noProof/>
          </w:rPr>
          <w:t>VII.</w:t>
        </w:r>
        <w:r w:rsidR="00353ED4">
          <w:rPr>
            <w:rFonts w:eastAsia="Times New Roman"/>
            <w:noProof/>
            <w:sz w:val="22"/>
            <w:szCs w:val="22"/>
            <w:lang w:val="es-PE" w:eastAsia="es-PE"/>
          </w:rPr>
          <w:tab/>
        </w:r>
        <w:r w:rsidR="00353ED4" w:rsidRPr="003022F3">
          <w:rPr>
            <w:rStyle w:val="Hipervnculo"/>
            <w:noProof/>
          </w:rPr>
          <w:t>Appendixes</w:t>
        </w:r>
        <w:r w:rsidR="00353ED4">
          <w:rPr>
            <w:noProof/>
            <w:webHidden/>
          </w:rPr>
          <w:tab/>
        </w:r>
        <w:r w:rsidR="00353ED4">
          <w:rPr>
            <w:noProof/>
            <w:webHidden/>
          </w:rPr>
          <w:fldChar w:fldCharType="begin"/>
        </w:r>
        <w:r w:rsidR="00353ED4">
          <w:rPr>
            <w:noProof/>
            <w:webHidden/>
          </w:rPr>
          <w:instrText xml:space="preserve"> PAGEREF _Toc254270049 \h </w:instrText>
        </w:r>
        <w:r w:rsidR="00353ED4">
          <w:rPr>
            <w:noProof/>
            <w:webHidden/>
          </w:rPr>
        </w:r>
        <w:r w:rsidR="00353ED4">
          <w:rPr>
            <w:noProof/>
            <w:webHidden/>
          </w:rPr>
          <w:fldChar w:fldCharType="separate"/>
        </w:r>
        <w:r w:rsidR="00353ED4">
          <w:rPr>
            <w:noProof/>
            <w:webHidden/>
          </w:rPr>
          <w:t>69</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50" w:history="1">
        <w:r w:rsidR="00353ED4" w:rsidRPr="003022F3">
          <w:rPr>
            <w:rStyle w:val="Hipervnculo"/>
            <w:b/>
            <w:noProof/>
          </w:rPr>
          <w:t>1.</w:t>
        </w:r>
        <w:r w:rsidR="00353ED4">
          <w:rPr>
            <w:rFonts w:eastAsia="Times New Roman"/>
            <w:noProof/>
            <w:sz w:val="22"/>
            <w:szCs w:val="22"/>
            <w:lang w:val="es-PE" w:eastAsia="es-PE"/>
          </w:rPr>
          <w:tab/>
        </w:r>
        <w:r w:rsidR="00353ED4" w:rsidRPr="003022F3">
          <w:rPr>
            <w:rStyle w:val="Hipervnculo"/>
            <w:b/>
            <w:noProof/>
          </w:rPr>
          <w:t>Appendix 1 - Obstetric and Neonatal Functions specifications</w:t>
        </w:r>
        <w:r w:rsidR="00353ED4">
          <w:rPr>
            <w:noProof/>
            <w:webHidden/>
          </w:rPr>
          <w:tab/>
        </w:r>
        <w:r w:rsidR="00353ED4">
          <w:rPr>
            <w:noProof/>
            <w:webHidden/>
          </w:rPr>
          <w:fldChar w:fldCharType="begin"/>
        </w:r>
        <w:r w:rsidR="00353ED4">
          <w:rPr>
            <w:noProof/>
            <w:webHidden/>
          </w:rPr>
          <w:instrText xml:space="preserve"> PAGEREF _Toc254270050 \h </w:instrText>
        </w:r>
        <w:r w:rsidR="00353ED4">
          <w:rPr>
            <w:noProof/>
            <w:webHidden/>
          </w:rPr>
        </w:r>
        <w:r w:rsidR="00353ED4">
          <w:rPr>
            <w:noProof/>
            <w:webHidden/>
          </w:rPr>
          <w:fldChar w:fldCharType="separate"/>
        </w:r>
        <w:r w:rsidR="00353ED4">
          <w:rPr>
            <w:noProof/>
            <w:webHidden/>
          </w:rPr>
          <w:t>69</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51" w:history="1">
        <w:r w:rsidR="00353ED4" w:rsidRPr="003022F3">
          <w:rPr>
            <w:rStyle w:val="Hipervnculo"/>
            <w:b/>
            <w:noProof/>
          </w:rPr>
          <w:t>2.</w:t>
        </w:r>
        <w:r w:rsidR="00353ED4">
          <w:rPr>
            <w:rFonts w:eastAsia="Times New Roman"/>
            <w:noProof/>
            <w:sz w:val="22"/>
            <w:szCs w:val="22"/>
            <w:lang w:val="es-PE" w:eastAsia="es-PE"/>
          </w:rPr>
          <w:tab/>
        </w:r>
        <w:r w:rsidR="00353ED4" w:rsidRPr="003022F3">
          <w:rPr>
            <w:rStyle w:val="Hipervnculo"/>
            <w:b/>
            <w:noProof/>
          </w:rPr>
          <w:t>Appendix 2 – Supply Gap in Infrastructure</w:t>
        </w:r>
        <w:r w:rsidR="00353ED4">
          <w:rPr>
            <w:noProof/>
            <w:webHidden/>
          </w:rPr>
          <w:tab/>
        </w:r>
        <w:r w:rsidR="00353ED4">
          <w:rPr>
            <w:noProof/>
            <w:webHidden/>
          </w:rPr>
          <w:fldChar w:fldCharType="begin"/>
        </w:r>
        <w:r w:rsidR="00353ED4">
          <w:rPr>
            <w:noProof/>
            <w:webHidden/>
          </w:rPr>
          <w:instrText xml:space="preserve"> PAGEREF _Toc254270051 \h </w:instrText>
        </w:r>
        <w:r w:rsidR="00353ED4">
          <w:rPr>
            <w:noProof/>
            <w:webHidden/>
          </w:rPr>
        </w:r>
        <w:r w:rsidR="00353ED4">
          <w:rPr>
            <w:noProof/>
            <w:webHidden/>
          </w:rPr>
          <w:fldChar w:fldCharType="separate"/>
        </w:r>
        <w:r w:rsidR="00353ED4">
          <w:rPr>
            <w:noProof/>
            <w:webHidden/>
          </w:rPr>
          <w:t>74</w:t>
        </w:r>
        <w:r w:rsidR="00353ED4">
          <w:rPr>
            <w:noProof/>
            <w:webHidden/>
          </w:rPr>
          <w:fldChar w:fldCharType="end"/>
        </w:r>
      </w:hyperlink>
    </w:p>
    <w:p w:rsidR="00353ED4" w:rsidRDefault="00132204">
      <w:pPr>
        <w:pStyle w:val="TDC2"/>
        <w:tabs>
          <w:tab w:val="left" w:pos="660"/>
          <w:tab w:val="right" w:leader="dot" w:pos="8828"/>
        </w:tabs>
        <w:rPr>
          <w:rFonts w:eastAsia="Times New Roman"/>
          <w:noProof/>
          <w:sz w:val="22"/>
          <w:szCs w:val="22"/>
          <w:lang w:val="es-PE" w:eastAsia="es-PE"/>
        </w:rPr>
      </w:pPr>
      <w:hyperlink w:anchor="_Toc254270052" w:history="1">
        <w:r w:rsidR="00353ED4" w:rsidRPr="003022F3">
          <w:rPr>
            <w:rStyle w:val="Hipervnculo"/>
            <w:b/>
            <w:noProof/>
          </w:rPr>
          <w:t>3.</w:t>
        </w:r>
        <w:r w:rsidR="00353ED4">
          <w:rPr>
            <w:rFonts w:eastAsia="Times New Roman"/>
            <w:noProof/>
            <w:sz w:val="22"/>
            <w:szCs w:val="22"/>
            <w:lang w:val="es-PE" w:eastAsia="es-PE"/>
          </w:rPr>
          <w:tab/>
        </w:r>
        <w:r w:rsidR="00353ED4" w:rsidRPr="003022F3">
          <w:rPr>
            <w:rStyle w:val="Hipervnculo"/>
            <w:b/>
            <w:noProof/>
          </w:rPr>
          <w:t>Appendix 3: Health Budget in real nuevos soles (2006=100) and percentage, Peru 2006-2009</w:t>
        </w:r>
        <w:r w:rsidR="00353ED4">
          <w:rPr>
            <w:noProof/>
            <w:webHidden/>
          </w:rPr>
          <w:tab/>
        </w:r>
        <w:r w:rsidR="00353ED4">
          <w:rPr>
            <w:noProof/>
            <w:webHidden/>
          </w:rPr>
          <w:fldChar w:fldCharType="begin"/>
        </w:r>
        <w:r w:rsidR="00353ED4">
          <w:rPr>
            <w:noProof/>
            <w:webHidden/>
          </w:rPr>
          <w:instrText xml:space="preserve"> PAGEREF _Toc254270052 \h </w:instrText>
        </w:r>
        <w:r w:rsidR="00353ED4">
          <w:rPr>
            <w:noProof/>
            <w:webHidden/>
          </w:rPr>
        </w:r>
        <w:r w:rsidR="00353ED4">
          <w:rPr>
            <w:noProof/>
            <w:webHidden/>
          </w:rPr>
          <w:fldChar w:fldCharType="separate"/>
        </w:r>
        <w:r w:rsidR="00353ED4">
          <w:rPr>
            <w:noProof/>
            <w:webHidden/>
          </w:rPr>
          <w:t>75</w:t>
        </w:r>
        <w:r w:rsidR="00353ED4">
          <w:rPr>
            <w:noProof/>
            <w:webHidden/>
          </w:rPr>
          <w:fldChar w:fldCharType="end"/>
        </w:r>
      </w:hyperlink>
    </w:p>
    <w:p w:rsidR="00353ED4" w:rsidRPr="00815FA1" w:rsidRDefault="00353ED4">
      <w:r w:rsidRPr="00815FA1">
        <w:fldChar w:fldCharType="end"/>
      </w:r>
    </w:p>
    <w:p w:rsidR="00353ED4" w:rsidRPr="00815FA1" w:rsidRDefault="00353ED4" w:rsidP="001E2B47">
      <w:pPr>
        <w:rPr>
          <w:rStyle w:val="apple-style-span"/>
          <w:b/>
          <w:bCs/>
          <w:sz w:val="28"/>
          <w:szCs w:val="28"/>
        </w:rPr>
      </w:pPr>
    </w:p>
    <w:p w:rsidR="00353ED4" w:rsidRPr="00815FA1" w:rsidRDefault="00353ED4" w:rsidP="001E2B47">
      <w:pPr>
        <w:rPr>
          <w:rStyle w:val="apple-style-span"/>
        </w:rPr>
      </w:pPr>
      <w:r w:rsidRPr="00815FA1">
        <w:rPr>
          <w:rStyle w:val="apple-style-span"/>
        </w:rPr>
        <w:br w:type="page"/>
      </w:r>
    </w:p>
    <w:p w:rsidR="00353ED4" w:rsidRPr="00815FA1" w:rsidRDefault="00353ED4" w:rsidP="008A745E">
      <w:pPr>
        <w:pStyle w:val="Ttulo1"/>
        <w:rPr>
          <w:rStyle w:val="apple-style-span"/>
        </w:rPr>
      </w:pPr>
      <w:bookmarkStart w:id="5" w:name="_Toc254270017"/>
      <w:r w:rsidRPr="00815FA1">
        <w:rPr>
          <w:rStyle w:val="apple-style-span"/>
        </w:rPr>
        <w:t>Introduction</w:t>
      </w:r>
      <w:bookmarkEnd w:id="5"/>
    </w:p>
    <w:p w:rsidR="00353ED4" w:rsidRPr="00815FA1" w:rsidRDefault="00353ED4" w:rsidP="005030E9">
      <w:pPr>
        <w:jc w:val="both"/>
      </w:pPr>
    </w:p>
    <w:p w:rsidR="00353ED4" w:rsidRPr="005F7F2E" w:rsidRDefault="00353ED4" w:rsidP="005030E9">
      <w:pPr>
        <w:jc w:val="both"/>
        <w:rPr>
          <w:sz w:val="22"/>
          <w:szCs w:val="22"/>
        </w:rPr>
      </w:pPr>
      <w:r w:rsidRPr="005F7F2E">
        <w:rPr>
          <w:sz w:val="22"/>
          <w:szCs w:val="22"/>
        </w:rPr>
        <w:t xml:space="preserve">Improvements in health conditions of the population are shown in a better quality of life, in individual welfare, and also in the development of the society. The economic growth in the past decades (5% average in the last 15 years; BCR) allowed important advances in the Peruvian health sector. As consequence, key indicators of the sector’s development such as child and maternal mortality, and chronic malnutrition, shows a decreasing trend. Furthermore, in the last decades, progress related to the health services access has been made, as well as increasing the health insurances rates. These programs increase the welfare of the population. </w:t>
      </w:r>
    </w:p>
    <w:p w:rsidR="00353ED4" w:rsidRPr="00DD63C9" w:rsidRDefault="00353ED4" w:rsidP="00DD63C9">
      <w:pPr>
        <w:pStyle w:val="Textoindependiente"/>
        <w:rPr>
          <w:sz w:val="22"/>
          <w:szCs w:val="22"/>
        </w:rPr>
      </w:pPr>
      <w:r w:rsidRPr="00DD63C9">
        <w:rPr>
          <w:sz w:val="22"/>
          <w:szCs w:val="22"/>
        </w:rPr>
        <w:t xml:space="preserve">In spite of the advances, </w:t>
      </w:r>
      <w:smartTag w:uri="urn:schemas-microsoft-com:office:smarttags" w:element="place">
        <w:smartTag w:uri="urn:schemas-microsoft-com:office:smarttags" w:element="country-region">
          <w:r w:rsidRPr="00DD63C9">
            <w:rPr>
              <w:sz w:val="22"/>
              <w:szCs w:val="22"/>
            </w:rPr>
            <w:t>Peru</w:t>
          </w:r>
        </w:smartTag>
      </w:smartTag>
      <w:r w:rsidRPr="00DD63C9">
        <w:rPr>
          <w:sz w:val="22"/>
          <w:szCs w:val="22"/>
        </w:rPr>
        <w:t xml:space="preserve"> still presents high indicators of health deficiency in comparison with other countries, in part due to the low budget assignation that the health sector manages. Even though the sector budget has increased in the past years, it’s still limited (2’263 millions of Nuevos Soles, meaning the 5.9% of the Total Budget-SIAF, 2008; and a public health budget slightly above 1% of the GDP), which restricts the necessary advances in effective coverage and even more, limits the advance in reducing the gap between rural and urban areas. Clearly, this is added to the inefficiencies </w:t>
      </w:r>
      <w:r>
        <w:rPr>
          <w:sz w:val="22"/>
          <w:szCs w:val="22"/>
        </w:rPr>
        <w:t xml:space="preserve">of </w:t>
      </w:r>
      <w:r w:rsidRPr="00DD63C9">
        <w:rPr>
          <w:sz w:val="22"/>
          <w:szCs w:val="22"/>
        </w:rPr>
        <w:t>the system that doesn’t allow for an optimized use of the resources. That’s the reason why, in spite of the progress accomplished, in the year 2008, 50% of the people that had a disease couldn’t have access to medical consult and 46% didn’t have health insurance.</w:t>
      </w:r>
    </w:p>
    <w:p w:rsidR="00353ED4" w:rsidRPr="005F7F2E" w:rsidRDefault="00353ED4" w:rsidP="00DD63C9">
      <w:pPr>
        <w:pStyle w:val="Textoindependiente"/>
        <w:rPr>
          <w:sz w:val="22"/>
          <w:szCs w:val="22"/>
        </w:rPr>
      </w:pPr>
      <w:r w:rsidRPr="005F7F2E">
        <w:rPr>
          <w:sz w:val="22"/>
          <w:szCs w:val="22"/>
        </w:rPr>
        <w:t xml:space="preserve">The budget assigned is particularly low considering that Peruvian government is implementing a policy of universal insurance. No country has been able to apply a universal insurance policy with </w:t>
      </w:r>
      <w:r>
        <w:rPr>
          <w:sz w:val="22"/>
          <w:szCs w:val="22"/>
        </w:rPr>
        <w:t xml:space="preserve">a public health budget </w:t>
      </w:r>
      <w:r w:rsidRPr="005F7F2E">
        <w:rPr>
          <w:sz w:val="22"/>
          <w:szCs w:val="22"/>
        </w:rPr>
        <w:t>less than at least 6% of their GDP</w:t>
      </w:r>
      <w:r>
        <w:rPr>
          <w:sz w:val="22"/>
          <w:szCs w:val="22"/>
        </w:rPr>
        <w:t>.</w:t>
      </w:r>
      <w:r w:rsidRPr="005F7F2E">
        <w:rPr>
          <w:sz w:val="22"/>
          <w:szCs w:val="22"/>
        </w:rPr>
        <w:t xml:space="preserve"> </w:t>
      </w:r>
    </w:p>
    <w:p w:rsidR="00353ED4" w:rsidRPr="005F7F2E" w:rsidRDefault="00353ED4" w:rsidP="00DD63C9">
      <w:pPr>
        <w:jc w:val="both"/>
        <w:rPr>
          <w:sz w:val="22"/>
          <w:szCs w:val="22"/>
        </w:rPr>
      </w:pPr>
      <w:r w:rsidRPr="005F7F2E">
        <w:rPr>
          <w:sz w:val="22"/>
          <w:szCs w:val="22"/>
        </w:rPr>
        <w:t xml:space="preserve">Moreover, even though policies in the last years intent to focus in the poorest, the inequality is still an important problem the sector must resolve. For example, there have been great advances related to institutional deliveries which allowed that 81% of pregnant women access them in 2008. Nevertheless, this result is a national average that hides strong inequalities between rural and urban areas. </w:t>
      </w:r>
      <w:r>
        <w:rPr>
          <w:sz w:val="22"/>
          <w:szCs w:val="22"/>
        </w:rPr>
        <w:t>The Health Demographic Survey (</w:t>
      </w:r>
      <w:r w:rsidRPr="005F7F2E">
        <w:rPr>
          <w:sz w:val="22"/>
          <w:szCs w:val="22"/>
        </w:rPr>
        <w:t>ENDES</w:t>
      </w:r>
      <w:r>
        <w:rPr>
          <w:sz w:val="22"/>
          <w:szCs w:val="22"/>
        </w:rPr>
        <w:t>,</w:t>
      </w:r>
      <w:r w:rsidRPr="005F7F2E">
        <w:rPr>
          <w:sz w:val="22"/>
          <w:szCs w:val="22"/>
        </w:rPr>
        <w:t xml:space="preserve"> 2008</w:t>
      </w:r>
      <w:r>
        <w:rPr>
          <w:sz w:val="22"/>
          <w:szCs w:val="22"/>
        </w:rPr>
        <w:t>)</w:t>
      </w:r>
      <w:r w:rsidRPr="005F7F2E">
        <w:rPr>
          <w:sz w:val="22"/>
          <w:szCs w:val="22"/>
        </w:rPr>
        <w:t xml:space="preserve"> shows that while in the urban area 95% of pregnant women received professional medical attention, in the rural area, just 58% access them. </w:t>
      </w:r>
    </w:p>
    <w:p w:rsidR="00353ED4" w:rsidRPr="005F7F2E" w:rsidRDefault="00353ED4" w:rsidP="00DD63C9">
      <w:pPr>
        <w:jc w:val="both"/>
        <w:rPr>
          <w:sz w:val="22"/>
          <w:szCs w:val="22"/>
        </w:rPr>
      </w:pPr>
      <w:r w:rsidRPr="005F7F2E">
        <w:rPr>
          <w:sz w:val="22"/>
          <w:szCs w:val="22"/>
        </w:rPr>
        <w:t xml:space="preserve">Health care requires government intervention in order to guarantee the population well being at minimum cost. However, in </w:t>
      </w:r>
      <w:smartTag w:uri="urn:schemas-microsoft-com:office:smarttags" w:element="place">
        <w:smartTag w:uri="urn:schemas-microsoft-com:office:smarttags" w:element="country-region">
          <w:r w:rsidRPr="005F7F2E">
            <w:rPr>
              <w:sz w:val="22"/>
              <w:szCs w:val="22"/>
            </w:rPr>
            <w:t>Peru</w:t>
          </w:r>
        </w:smartTag>
      </w:smartTag>
      <w:r w:rsidRPr="005F7F2E">
        <w:rPr>
          <w:sz w:val="22"/>
          <w:szCs w:val="22"/>
        </w:rPr>
        <w:t xml:space="preserve">, household financing of the medical services occupied the first financing source (37% in 2005, OPS/OMS Peru, 2005). Government is just the third source of financing the medical expenses (24% in 2005). Households’ contribution is made, mainly, through pocket expenditure in a country where more than one third of the population is poor. This fact limits access to health services only to those who can afford it, while low income households have a higher risk of being excluded from access to these services. </w:t>
      </w:r>
      <w:r>
        <w:rPr>
          <w:sz w:val="22"/>
          <w:szCs w:val="22"/>
        </w:rPr>
        <w:t xml:space="preserve">In developed countries, </w:t>
      </w:r>
      <w:r w:rsidRPr="005F7F2E">
        <w:rPr>
          <w:sz w:val="22"/>
          <w:szCs w:val="22"/>
        </w:rPr>
        <w:t xml:space="preserve">financing </w:t>
      </w:r>
      <w:r w:rsidRPr="005F7F2E">
        <w:rPr>
          <w:sz w:val="22"/>
          <w:szCs w:val="22"/>
        </w:rPr>
        <w:lastRenderedPageBreak/>
        <w:t>depend mostly from public treasury or social security for health funds</w:t>
      </w:r>
      <w:r>
        <w:rPr>
          <w:sz w:val="22"/>
          <w:szCs w:val="22"/>
        </w:rPr>
        <w:t>; thus,</w:t>
      </w:r>
      <w:r w:rsidRPr="005F7F2E">
        <w:rPr>
          <w:sz w:val="22"/>
          <w:szCs w:val="22"/>
        </w:rPr>
        <w:t xml:space="preserve"> payment is made before the occurrence of the attention though insurance mechanisms and the configurations of funds that allow risk-diversification (OPS/OMS Peru, 2005).</w:t>
      </w:r>
    </w:p>
    <w:p w:rsidR="00353ED4" w:rsidRPr="005F7F2E" w:rsidRDefault="00353ED4" w:rsidP="00DD63C9">
      <w:pPr>
        <w:pStyle w:val="Textoindependiente"/>
        <w:rPr>
          <w:sz w:val="22"/>
          <w:szCs w:val="22"/>
        </w:rPr>
      </w:pPr>
      <w:r w:rsidRPr="005F7F2E">
        <w:rPr>
          <w:sz w:val="22"/>
          <w:szCs w:val="22"/>
        </w:rPr>
        <w:t>This document analyses the health sector, in terms of program budgeting (PBA) as well as benefit incidence (BIA). Thus, the document analyses first how the health budget has been distributed among its different functions and programs in the 2006-2009 period.  Second, th</w:t>
      </w:r>
      <w:r>
        <w:rPr>
          <w:sz w:val="22"/>
          <w:szCs w:val="22"/>
        </w:rPr>
        <w:t>is</w:t>
      </w:r>
      <w:r w:rsidRPr="005F7F2E">
        <w:rPr>
          <w:sz w:val="22"/>
          <w:szCs w:val="22"/>
        </w:rPr>
        <w:t xml:space="preserve"> document discusses how much does government subsidizes health attentions in order to assert the real family burden to face health problems. </w:t>
      </w:r>
    </w:p>
    <w:p w:rsidR="00353ED4" w:rsidRPr="005F7F2E" w:rsidRDefault="00353ED4" w:rsidP="00DD63C9">
      <w:pPr>
        <w:spacing w:after="0"/>
        <w:jc w:val="both"/>
        <w:rPr>
          <w:rFonts w:cs="Tahoma"/>
          <w:sz w:val="22"/>
          <w:szCs w:val="22"/>
        </w:rPr>
      </w:pPr>
      <w:r w:rsidRPr="005F7F2E">
        <w:rPr>
          <w:rFonts w:cs="Tahoma"/>
          <w:sz w:val="22"/>
          <w:szCs w:val="22"/>
        </w:rPr>
        <w:t xml:space="preserve">In terms of the PBA results, it is important to realize that the financing of the public sector has been determined historically by </w:t>
      </w:r>
      <w:r>
        <w:rPr>
          <w:rFonts w:cs="Tahoma"/>
          <w:sz w:val="22"/>
          <w:szCs w:val="22"/>
        </w:rPr>
        <w:t xml:space="preserve">the </w:t>
      </w:r>
      <w:r w:rsidRPr="005F7F2E">
        <w:rPr>
          <w:rFonts w:cs="Tahoma"/>
          <w:sz w:val="22"/>
          <w:szCs w:val="22"/>
        </w:rPr>
        <w:t xml:space="preserve">Ministry of Economy and Finance </w:t>
      </w:r>
      <w:r>
        <w:rPr>
          <w:rFonts w:cs="Tahoma"/>
          <w:sz w:val="22"/>
          <w:szCs w:val="22"/>
        </w:rPr>
        <w:t>(</w:t>
      </w:r>
      <w:r w:rsidRPr="005F7F2E">
        <w:rPr>
          <w:rFonts w:cs="Tahoma"/>
          <w:sz w:val="22"/>
          <w:szCs w:val="22"/>
        </w:rPr>
        <w:t>MEF</w:t>
      </w:r>
      <w:r>
        <w:rPr>
          <w:rFonts w:cs="Tahoma"/>
          <w:sz w:val="22"/>
          <w:szCs w:val="22"/>
        </w:rPr>
        <w:t xml:space="preserve">) and </w:t>
      </w:r>
      <w:r w:rsidRPr="005F7F2E">
        <w:rPr>
          <w:rFonts w:cs="Tahoma"/>
          <w:sz w:val="22"/>
          <w:szCs w:val="22"/>
        </w:rPr>
        <w:t>has maintained</w:t>
      </w:r>
      <w:r>
        <w:rPr>
          <w:rFonts w:cs="Tahoma"/>
          <w:sz w:val="22"/>
          <w:szCs w:val="22"/>
        </w:rPr>
        <w:t>, as already mentioned,</w:t>
      </w:r>
      <w:r w:rsidRPr="005F7F2E">
        <w:rPr>
          <w:rFonts w:cs="Tahoma"/>
          <w:sz w:val="22"/>
          <w:szCs w:val="22"/>
        </w:rPr>
        <w:t xml:space="preserve"> slightly above 1% of the GDP which has been around the 5% of the government total expenditure. </w:t>
      </w:r>
    </w:p>
    <w:p w:rsidR="00353ED4" w:rsidRPr="005F7F2E" w:rsidRDefault="00353ED4" w:rsidP="00DD63C9">
      <w:pPr>
        <w:spacing w:after="0"/>
        <w:jc w:val="both"/>
        <w:rPr>
          <w:rFonts w:cs="Tahoma"/>
          <w:sz w:val="22"/>
          <w:szCs w:val="22"/>
          <w:highlight w:val="cyan"/>
        </w:rPr>
      </w:pPr>
      <w:r w:rsidRPr="005F7F2E">
        <w:rPr>
          <w:sz w:val="22"/>
          <w:szCs w:val="22"/>
        </w:rPr>
        <w:t>The expenditure concentrates in the Individual Health program (74.5% in 2008), which represents all attentions in hospitals, health centers and posts, both basic and specialized attentions. Although individual health is the main program, capital expenditure in this category is significantly low, moreover given the scarce investment in capital during the last past decades. The relative importance of collective health, includ</w:t>
      </w:r>
      <w:r>
        <w:rPr>
          <w:sz w:val="22"/>
          <w:szCs w:val="22"/>
        </w:rPr>
        <w:t>ing</w:t>
      </w:r>
      <w:r w:rsidRPr="005F7F2E">
        <w:rPr>
          <w:sz w:val="22"/>
          <w:szCs w:val="22"/>
        </w:rPr>
        <w:t xml:space="preserve"> collective preventive actions and information to families, schools and communities, </w:t>
      </w:r>
      <w:r>
        <w:rPr>
          <w:sz w:val="22"/>
          <w:szCs w:val="22"/>
        </w:rPr>
        <w:t xml:space="preserve">seems </w:t>
      </w:r>
      <w:r w:rsidRPr="005F7F2E">
        <w:rPr>
          <w:sz w:val="22"/>
          <w:szCs w:val="22"/>
        </w:rPr>
        <w:t xml:space="preserve">to be low. However, since 2007 the importance of Collective Health has been raising. </w:t>
      </w:r>
    </w:p>
    <w:p w:rsidR="00353ED4" w:rsidRPr="005F7F2E" w:rsidRDefault="00353ED4" w:rsidP="00181F3D">
      <w:pPr>
        <w:jc w:val="both"/>
        <w:rPr>
          <w:rFonts w:cs="Tahoma"/>
          <w:sz w:val="22"/>
          <w:szCs w:val="22"/>
        </w:rPr>
      </w:pPr>
      <w:r>
        <w:rPr>
          <w:rFonts w:cs="Tahoma"/>
          <w:sz w:val="22"/>
          <w:szCs w:val="22"/>
        </w:rPr>
        <w:t>O</w:t>
      </w:r>
      <w:r w:rsidRPr="005F7F2E">
        <w:rPr>
          <w:rFonts w:cs="Tahoma"/>
          <w:sz w:val="22"/>
          <w:szCs w:val="22"/>
        </w:rPr>
        <w:t xml:space="preserve">ther relevant issue is that regional government are beginning to execute directly increasing proportions of resources from the Public Treasury, keeping their execution autonomy regard to the Ministry of Health (MINSA), because the MEF deliveries directly to them. This is an important result of decentralization, </w:t>
      </w:r>
      <w:r>
        <w:rPr>
          <w:rFonts w:cs="Tahoma"/>
          <w:sz w:val="22"/>
          <w:szCs w:val="22"/>
        </w:rPr>
        <w:t xml:space="preserve">with </w:t>
      </w:r>
      <w:r w:rsidRPr="005F7F2E">
        <w:rPr>
          <w:rFonts w:cs="Tahoma"/>
          <w:sz w:val="22"/>
          <w:szCs w:val="22"/>
        </w:rPr>
        <w:t>consequences in the MINSA directorate</w:t>
      </w:r>
      <w:r>
        <w:rPr>
          <w:rFonts w:cs="Tahoma"/>
          <w:sz w:val="22"/>
          <w:szCs w:val="22"/>
        </w:rPr>
        <w:t xml:space="preserve"> and implications on </w:t>
      </w:r>
      <w:r w:rsidRPr="005F7F2E">
        <w:rPr>
          <w:rFonts w:cs="Tahoma"/>
          <w:sz w:val="22"/>
          <w:szCs w:val="22"/>
        </w:rPr>
        <w:t>the coordinat</w:t>
      </w:r>
      <w:r>
        <w:rPr>
          <w:rFonts w:cs="Tahoma"/>
          <w:sz w:val="22"/>
          <w:szCs w:val="22"/>
        </w:rPr>
        <w:t xml:space="preserve">ion </w:t>
      </w:r>
      <w:r w:rsidRPr="005F7F2E">
        <w:rPr>
          <w:rFonts w:cs="Tahoma"/>
          <w:sz w:val="22"/>
          <w:szCs w:val="22"/>
        </w:rPr>
        <w:t xml:space="preserve">between the MINSA and the MEF. </w:t>
      </w:r>
    </w:p>
    <w:p w:rsidR="00353ED4" w:rsidRPr="005F7F2E" w:rsidRDefault="00353ED4" w:rsidP="00381C1D">
      <w:pPr>
        <w:pStyle w:val="Textoindependiente"/>
        <w:rPr>
          <w:sz w:val="22"/>
          <w:szCs w:val="22"/>
        </w:rPr>
      </w:pPr>
      <w:r w:rsidRPr="005F7F2E">
        <w:rPr>
          <w:sz w:val="22"/>
          <w:szCs w:val="22"/>
        </w:rPr>
        <w:t xml:space="preserve">In the BIA, we found that government subsidy is, in </w:t>
      </w:r>
      <w:r>
        <w:rPr>
          <w:sz w:val="22"/>
          <w:szCs w:val="22"/>
        </w:rPr>
        <w:t xml:space="preserve">per capita terms, </w:t>
      </w:r>
      <w:r w:rsidRPr="005F7F2E">
        <w:rPr>
          <w:sz w:val="22"/>
          <w:szCs w:val="22"/>
        </w:rPr>
        <w:t>regressive</w:t>
      </w:r>
      <w:r>
        <w:rPr>
          <w:sz w:val="22"/>
          <w:szCs w:val="22"/>
        </w:rPr>
        <w:t xml:space="preserve"> for health centers and posts but progressive for hospitals, </w:t>
      </w:r>
      <w:r w:rsidRPr="005F7F2E">
        <w:rPr>
          <w:sz w:val="22"/>
          <w:szCs w:val="22"/>
        </w:rPr>
        <w:t xml:space="preserve">meaning that richer households receive a greater </w:t>
      </w:r>
      <w:r>
        <w:rPr>
          <w:sz w:val="22"/>
          <w:szCs w:val="22"/>
        </w:rPr>
        <w:t xml:space="preserve">hospital </w:t>
      </w:r>
      <w:r w:rsidRPr="005F7F2E">
        <w:rPr>
          <w:sz w:val="22"/>
          <w:szCs w:val="22"/>
        </w:rPr>
        <w:t xml:space="preserve">subsidy. This result calls the attention on the underprivileged access to </w:t>
      </w:r>
      <w:r>
        <w:rPr>
          <w:sz w:val="22"/>
          <w:szCs w:val="22"/>
        </w:rPr>
        <w:t xml:space="preserve">specialized </w:t>
      </w:r>
      <w:r w:rsidRPr="005F7F2E">
        <w:rPr>
          <w:sz w:val="22"/>
          <w:szCs w:val="22"/>
        </w:rPr>
        <w:t xml:space="preserve">health services </w:t>
      </w:r>
      <w:r>
        <w:rPr>
          <w:sz w:val="22"/>
          <w:szCs w:val="22"/>
        </w:rPr>
        <w:t xml:space="preserve">by </w:t>
      </w:r>
      <w:r w:rsidRPr="005F7F2E">
        <w:rPr>
          <w:sz w:val="22"/>
          <w:szCs w:val="22"/>
        </w:rPr>
        <w:t xml:space="preserve">poor households, especially in rural areas and in part due to an infrastructure and human resources supply gap. </w:t>
      </w:r>
    </w:p>
    <w:p w:rsidR="00353ED4" w:rsidRPr="005F7F2E" w:rsidRDefault="00353ED4" w:rsidP="00181F3D">
      <w:pPr>
        <w:jc w:val="both"/>
        <w:rPr>
          <w:rStyle w:val="apple-style-span"/>
          <w:rFonts w:cs="Tahoma"/>
          <w:sz w:val="22"/>
          <w:szCs w:val="22"/>
        </w:rPr>
      </w:pPr>
      <w:r w:rsidRPr="005F7F2E">
        <w:rPr>
          <w:sz w:val="22"/>
          <w:szCs w:val="22"/>
        </w:rPr>
        <w:t>As a specific program</w:t>
      </w:r>
      <w:r>
        <w:rPr>
          <w:sz w:val="22"/>
          <w:szCs w:val="22"/>
        </w:rPr>
        <w:t xml:space="preserve">, </w:t>
      </w:r>
      <w:r w:rsidRPr="005F7F2E">
        <w:rPr>
          <w:sz w:val="22"/>
          <w:szCs w:val="22"/>
        </w:rPr>
        <w:t xml:space="preserve">we analyze the </w:t>
      </w:r>
      <w:r w:rsidRPr="005F7F2E">
        <w:rPr>
          <w:rStyle w:val="apple-style-span"/>
          <w:rFonts w:cs="Tahoma"/>
          <w:sz w:val="22"/>
          <w:szCs w:val="22"/>
        </w:rPr>
        <w:t xml:space="preserve">Strategic Program of Maternal and Neonatal Health (PSMN), one of the five budgetary programs created in the Performance Based Budget framework. Within the program, we are focusing on the institutional delivery budget. Peruvian Government has prioritized institutional birth when considered reducing maternal mortality as the first National Sanitary Objective in its National Coordinated Health Plan (2007-2020). This strategic program received 361’623,892 </w:t>
      </w:r>
      <w:r>
        <w:rPr>
          <w:rStyle w:val="apple-style-span"/>
          <w:rFonts w:cs="Tahoma"/>
          <w:sz w:val="22"/>
          <w:szCs w:val="22"/>
        </w:rPr>
        <w:t>N</w:t>
      </w:r>
      <w:r w:rsidRPr="005F7F2E">
        <w:rPr>
          <w:rStyle w:val="apple-style-span"/>
          <w:rFonts w:cs="Tahoma"/>
          <w:sz w:val="22"/>
          <w:szCs w:val="22"/>
        </w:rPr>
        <w:t xml:space="preserve">uevos soles in 2008, which represents 0.5% of Peruvian Government Budget and 4% of the </w:t>
      </w:r>
      <w:r>
        <w:rPr>
          <w:rStyle w:val="apple-style-span"/>
          <w:rFonts w:cs="Tahoma"/>
          <w:sz w:val="22"/>
          <w:szCs w:val="22"/>
        </w:rPr>
        <w:t xml:space="preserve">MINSA </w:t>
      </w:r>
      <w:r w:rsidRPr="005F7F2E">
        <w:rPr>
          <w:rStyle w:val="apple-style-span"/>
          <w:rFonts w:cs="Tahoma"/>
          <w:sz w:val="22"/>
          <w:szCs w:val="22"/>
        </w:rPr>
        <w:t>budget</w:t>
      </w:r>
      <w:r>
        <w:rPr>
          <w:rStyle w:val="apple-style-span"/>
          <w:rFonts w:cs="Tahoma"/>
          <w:sz w:val="22"/>
          <w:szCs w:val="22"/>
        </w:rPr>
        <w:t xml:space="preserve">. </w:t>
      </w:r>
      <w:r w:rsidRPr="005F7F2E">
        <w:rPr>
          <w:sz w:val="22"/>
          <w:szCs w:val="22"/>
        </w:rPr>
        <w:t>Deliveries imply around 42% of the total PSNM program, making it the most important single component.</w:t>
      </w:r>
    </w:p>
    <w:p w:rsidR="00353ED4" w:rsidRPr="005F7F2E" w:rsidRDefault="00353ED4" w:rsidP="00181F3D">
      <w:pPr>
        <w:jc w:val="both"/>
        <w:rPr>
          <w:b/>
          <w:sz w:val="22"/>
          <w:szCs w:val="22"/>
        </w:rPr>
      </w:pPr>
      <w:r w:rsidRPr="005F7F2E">
        <w:rPr>
          <w:sz w:val="22"/>
          <w:szCs w:val="22"/>
        </w:rPr>
        <w:t>Three things raise our concern related to the PSMN</w:t>
      </w:r>
      <w:r>
        <w:rPr>
          <w:sz w:val="22"/>
          <w:szCs w:val="22"/>
        </w:rPr>
        <w:t>. F</w:t>
      </w:r>
      <w:r w:rsidRPr="005F7F2E">
        <w:rPr>
          <w:sz w:val="22"/>
          <w:szCs w:val="22"/>
        </w:rPr>
        <w:t xml:space="preserve">irst, while budget should be assigned according to the performance of the previous year, MEF is still assigning it on a historical basis. Second, </w:t>
      </w:r>
      <w:r>
        <w:rPr>
          <w:sz w:val="22"/>
          <w:szCs w:val="22"/>
        </w:rPr>
        <w:t xml:space="preserve">in general terms </w:t>
      </w:r>
      <w:r w:rsidRPr="005F7F2E">
        <w:rPr>
          <w:sz w:val="22"/>
          <w:szCs w:val="22"/>
        </w:rPr>
        <w:t xml:space="preserve">there is no coherence between what was originally planned for 2008 and what was actually executed. </w:t>
      </w:r>
      <w:r>
        <w:rPr>
          <w:sz w:val="22"/>
          <w:szCs w:val="22"/>
        </w:rPr>
        <w:t xml:space="preserve">In terms of the </w:t>
      </w:r>
      <w:r w:rsidRPr="005F7F2E">
        <w:rPr>
          <w:sz w:val="22"/>
          <w:szCs w:val="22"/>
        </w:rPr>
        <w:t>institutional delivery component</w:t>
      </w:r>
      <w:r>
        <w:rPr>
          <w:sz w:val="22"/>
          <w:szCs w:val="22"/>
        </w:rPr>
        <w:t xml:space="preserve">, </w:t>
      </w:r>
      <w:r w:rsidRPr="005F7F2E">
        <w:rPr>
          <w:sz w:val="22"/>
          <w:szCs w:val="22"/>
        </w:rPr>
        <w:t xml:space="preserve">the results indicate </w:t>
      </w:r>
      <w:r>
        <w:rPr>
          <w:sz w:val="22"/>
          <w:szCs w:val="22"/>
        </w:rPr>
        <w:t>a</w:t>
      </w:r>
      <w:r w:rsidRPr="005F7F2E">
        <w:rPr>
          <w:sz w:val="22"/>
          <w:szCs w:val="22"/>
        </w:rPr>
        <w:t xml:space="preserve"> higher </w:t>
      </w:r>
      <w:r>
        <w:rPr>
          <w:sz w:val="22"/>
          <w:szCs w:val="22"/>
        </w:rPr>
        <w:t xml:space="preserve">level of execution </w:t>
      </w:r>
      <w:r w:rsidRPr="005F7F2E">
        <w:rPr>
          <w:sz w:val="22"/>
          <w:szCs w:val="22"/>
        </w:rPr>
        <w:t xml:space="preserve">and it seems to be more correspondence among what was budgeted and what was executed. </w:t>
      </w:r>
      <w:r>
        <w:rPr>
          <w:sz w:val="22"/>
          <w:szCs w:val="22"/>
        </w:rPr>
        <w:t>In fact, m</w:t>
      </w:r>
      <w:r w:rsidRPr="005F7F2E">
        <w:rPr>
          <w:sz w:val="22"/>
          <w:szCs w:val="22"/>
        </w:rPr>
        <w:t xml:space="preserve">ost physical goals related to deliveries are being fulfilled. Finally, not only the efficacy to carry out investment projects is quite low, but the budget destined to capital is, in general, little relative to the needs; given the infrastructure and equipment deficit. </w:t>
      </w:r>
    </w:p>
    <w:p w:rsidR="00353ED4" w:rsidRPr="005F7F2E" w:rsidRDefault="00353ED4" w:rsidP="003C3410">
      <w:pPr>
        <w:jc w:val="both"/>
        <w:rPr>
          <w:sz w:val="22"/>
          <w:szCs w:val="22"/>
        </w:rPr>
      </w:pPr>
      <w:r w:rsidRPr="005F7F2E">
        <w:rPr>
          <w:sz w:val="22"/>
          <w:szCs w:val="22"/>
        </w:rPr>
        <w:t xml:space="preserve">In terms of access and equity for institutional deliveries, gaps are significant. For instance, when considering wealth, 34% of the women in the poorest wealth quintile have an institutional delivery, while in the richest one 98% have it. Considering area of residence, almost half of the women living in urban zones give birth in MINSA’s hospitals and only 7% do it in their own homes. The situation is completely different for rural areas, where only 1 of every 5 women gives birth in MINSA’s hospitals and half of them do so in their own homes. Another relevant difference is the attention in health posts: one out of every ten women in rural areas attends to health posts for their deliveries, three times more than women in urban areas. Moreover, for institutional deliveries, rural women are more likely to be attended by a nurse or a health specialist, rather than a doctor or an obstetrician. </w:t>
      </w:r>
    </w:p>
    <w:p w:rsidR="00353ED4" w:rsidRPr="005F7F2E" w:rsidRDefault="00353ED4" w:rsidP="00181F3D">
      <w:pPr>
        <w:jc w:val="both"/>
        <w:rPr>
          <w:sz w:val="22"/>
          <w:szCs w:val="22"/>
        </w:rPr>
      </w:pPr>
      <w:r w:rsidRPr="002F58D4">
        <w:rPr>
          <w:sz w:val="22"/>
          <w:szCs w:val="22"/>
        </w:rPr>
        <w:t>The reminder of the study is organized as follows. Section 1 presents a general description of the health sector, including the sector organization, agents and providers, and a health sector diagnose. Given th</w:t>
      </w:r>
      <w:r>
        <w:rPr>
          <w:sz w:val="22"/>
          <w:szCs w:val="22"/>
        </w:rPr>
        <w:t>is document</w:t>
      </w:r>
      <w:r w:rsidRPr="002F58D4">
        <w:rPr>
          <w:sz w:val="22"/>
          <w:szCs w:val="22"/>
        </w:rPr>
        <w:t xml:space="preserve"> include</w:t>
      </w:r>
      <w:r>
        <w:rPr>
          <w:sz w:val="22"/>
          <w:szCs w:val="22"/>
        </w:rPr>
        <w:t>s</w:t>
      </w:r>
      <w:r w:rsidRPr="002F58D4">
        <w:rPr>
          <w:sz w:val="22"/>
          <w:szCs w:val="22"/>
        </w:rPr>
        <w:t xml:space="preserve"> </w:t>
      </w:r>
      <w:r>
        <w:rPr>
          <w:sz w:val="22"/>
          <w:szCs w:val="22"/>
        </w:rPr>
        <w:t xml:space="preserve">analysis on </w:t>
      </w:r>
      <w:r w:rsidRPr="002F58D4">
        <w:rPr>
          <w:sz w:val="22"/>
          <w:szCs w:val="22"/>
        </w:rPr>
        <w:t xml:space="preserve">the PSMN, we present a description of the institutional birth services in Peru as well as a description of the PSMN. Section 2 contains information on the Program Budgeting Analysis. Section 3 presents the Benefit Incidence </w:t>
      </w:r>
      <w:r>
        <w:rPr>
          <w:sz w:val="22"/>
          <w:szCs w:val="22"/>
        </w:rPr>
        <w:t>A</w:t>
      </w:r>
      <w:r w:rsidRPr="002F58D4">
        <w:rPr>
          <w:sz w:val="22"/>
          <w:szCs w:val="22"/>
        </w:rPr>
        <w:t>nalysis.  Section 4 presents the PSMN</w:t>
      </w:r>
      <w:r>
        <w:rPr>
          <w:sz w:val="22"/>
          <w:szCs w:val="22"/>
        </w:rPr>
        <w:t xml:space="preserve"> </w:t>
      </w:r>
      <w:r w:rsidRPr="002F58D4">
        <w:rPr>
          <w:sz w:val="22"/>
          <w:szCs w:val="22"/>
        </w:rPr>
        <w:t>results,</w:t>
      </w:r>
      <w:r>
        <w:rPr>
          <w:sz w:val="22"/>
          <w:szCs w:val="22"/>
        </w:rPr>
        <w:t xml:space="preserve"> both for the budget analysis and the benefit incidence. Section 5 concludes. Finally, the document ends with the challenges, the possible extensions and the diffusion plans. </w:t>
      </w:r>
    </w:p>
    <w:p w:rsidR="00353ED4" w:rsidRPr="005F7F2E" w:rsidRDefault="00353ED4" w:rsidP="001E6614">
      <w:pPr>
        <w:jc w:val="both"/>
        <w:rPr>
          <w:sz w:val="22"/>
          <w:szCs w:val="22"/>
        </w:rPr>
      </w:pPr>
    </w:p>
    <w:p w:rsidR="00353ED4" w:rsidRPr="00815FA1" w:rsidRDefault="00353ED4" w:rsidP="00BB7236">
      <w:pPr>
        <w:jc w:val="both"/>
        <w:rPr>
          <w:b/>
        </w:rPr>
      </w:pPr>
    </w:p>
    <w:p w:rsidR="00353ED4" w:rsidRPr="00815FA1" w:rsidRDefault="00353ED4" w:rsidP="001E6614">
      <w:r w:rsidRPr="00815FA1">
        <w:rPr>
          <w:rStyle w:val="apple-style-span"/>
        </w:rPr>
        <w:br w:type="page"/>
      </w:r>
    </w:p>
    <w:p w:rsidR="00353ED4" w:rsidRPr="004A2EFD" w:rsidRDefault="00353ED4" w:rsidP="008937E1">
      <w:pPr>
        <w:pStyle w:val="Ttulo1"/>
        <w:numPr>
          <w:ilvl w:val="0"/>
          <w:numId w:val="28"/>
        </w:numPr>
        <w:ind w:left="426" w:hanging="426"/>
        <w:rPr>
          <w:rStyle w:val="apple-style-span"/>
        </w:rPr>
      </w:pPr>
      <w:bookmarkStart w:id="6" w:name="_Toc254270018"/>
      <w:r w:rsidRPr="004A2EFD">
        <w:t>General description</w:t>
      </w:r>
      <w:r w:rsidRPr="004A2EFD">
        <w:rPr>
          <w:rStyle w:val="apple-style-span"/>
        </w:rPr>
        <w:t xml:space="preserve"> of the Health Sector</w:t>
      </w:r>
      <w:bookmarkEnd w:id="6"/>
    </w:p>
    <w:p w:rsidR="00353ED4" w:rsidRPr="00F37291" w:rsidRDefault="00353ED4" w:rsidP="008937E1">
      <w:pPr>
        <w:pStyle w:val="Ttulo2"/>
        <w:numPr>
          <w:ilvl w:val="0"/>
          <w:numId w:val="18"/>
        </w:numPr>
        <w:ind w:left="426"/>
        <w:rPr>
          <w:rStyle w:val="apple-style-span"/>
        </w:rPr>
      </w:pPr>
      <w:bookmarkStart w:id="7" w:name="_Toc254270019"/>
      <w:r w:rsidRPr="00F37291">
        <w:rPr>
          <w:rStyle w:val="apple-style-span"/>
        </w:rPr>
        <w:t>Sector organization</w:t>
      </w:r>
      <w:bookmarkStart w:id="8" w:name="OLE_LINK1"/>
      <w:bookmarkStart w:id="9" w:name="OLE_LINK2"/>
      <w:r w:rsidRPr="00F37291">
        <w:rPr>
          <w:rStyle w:val="Refdenotaalpie"/>
        </w:rPr>
        <w:footnoteReference w:id="1"/>
      </w:r>
      <w:bookmarkEnd w:id="7"/>
      <w:bookmarkEnd w:id="8"/>
      <w:bookmarkEnd w:id="9"/>
      <w:r w:rsidRPr="00F37291">
        <w:rPr>
          <w:rStyle w:val="apple-style-span"/>
        </w:rPr>
        <w:t xml:space="preserve"> </w:t>
      </w:r>
    </w:p>
    <w:p w:rsidR="00353ED4" w:rsidRPr="005F7F2E" w:rsidRDefault="00353ED4" w:rsidP="008740A2">
      <w:pPr>
        <w:jc w:val="both"/>
        <w:rPr>
          <w:sz w:val="22"/>
          <w:szCs w:val="22"/>
        </w:rPr>
      </w:pPr>
      <w:r w:rsidRPr="005F7F2E">
        <w:rPr>
          <w:sz w:val="22"/>
          <w:szCs w:val="22"/>
        </w:rPr>
        <w:t xml:space="preserve">The health sector is the social environment where people, organizations and institutions carry out different activities related directly or indirectly with the individual or collective health in the country. In Peru, health services are provided by two subsectors: the public and the private sector (see </w:t>
      </w:r>
      <w:r w:rsidR="00132204">
        <w:fldChar w:fldCharType="begin"/>
      </w:r>
      <w:r w:rsidR="00132204">
        <w:instrText xml:space="preserve"> REF _Ref246781399 \h  \* MERGEFORMAT </w:instrText>
      </w:r>
      <w:r w:rsidR="00132204">
        <w:fldChar w:fldCharType="separate"/>
      </w:r>
      <w:r w:rsidRPr="005F7F2E">
        <w:rPr>
          <w:sz w:val="22"/>
          <w:szCs w:val="22"/>
        </w:rPr>
        <w:t>Graphic 1</w:t>
      </w:r>
      <w:r w:rsidR="00132204">
        <w:fldChar w:fldCharType="end"/>
      </w:r>
      <w:r w:rsidRPr="005F7F2E">
        <w:rPr>
          <w:sz w:val="22"/>
          <w:szCs w:val="22"/>
        </w:rPr>
        <w:t xml:space="preserve">). The public sector is composed by the Ministry of Health (MINSA) and its decentralized institutions such as the Regional Health Directorates (DIRESA); the Health Social Security Insurance (EsSalud) under the Ministry of Labor, and the Police, Army and Navy Health Instances. On the other hand, the private sector is composed by the private firms (providers and insurance companies), the non-profit entities, the private professional doctors and paramedics that provide health services, as well as the suppliers of traditional or indigenous medicine.  </w:t>
      </w:r>
    </w:p>
    <w:p w:rsidR="00353ED4" w:rsidRPr="00F37291" w:rsidRDefault="00353ED4" w:rsidP="008937E1">
      <w:pPr>
        <w:pStyle w:val="Ttulo3"/>
        <w:numPr>
          <w:ilvl w:val="0"/>
          <w:numId w:val="14"/>
        </w:numPr>
        <w:tabs>
          <w:tab w:val="left" w:pos="567"/>
        </w:tabs>
        <w:ind w:left="284" w:firstLine="0"/>
        <w:rPr>
          <w:rStyle w:val="apple-style-span"/>
        </w:rPr>
      </w:pPr>
      <w:bookmarkStart w:id="10" w:name="_Toc254270020"/>
      <w:r w:rsidRPr="00F37291">
        <w:rPr>
          <w:rStyle w:val="apple-style-span"/>
        </w:rPr>
        <w:t>Public Subsector</w:t>
      </w:r>
      <w:bookmarkEnd w:id="10"/>
    </w:p>
    <w:p w:rsidR="00353ED4" w:rsidRPr="005F7F2E" w:rsidRDefault="00353ED4" w:rsidP="009C6718">
      <w:pPr>
        <w:ind w:left="567"/>
        <w:jc w:val="both"/>
        <w:rPr>
          <w:sz w:val="22"/>
          <w:szCs w:val="22"/>
        </w:rPr>
      </w:pPr>
      <w:r w:rsidRPr="005F7F2E">
        <w:rPr>
          <w:sz w:val="22"/>
          <w:szCs w:val="22"/>
        </w:rPr>
        <w:t>The public subsector is divided in three geographic levels: national, regional and local. The first one is lead by the MINSA, who is responsible for the policy guidelines of the health sector, and for the regulation and process that controls the health activities. Besides, MINSA is the most important provider entity of health services, fact that is changing with the consolidation of the decentralization process</w:t>
      </w:r>
      <w:r>
        <w:rPr>
          <w:sz w:val="22"/>
          <w:szCs w:val="22"/>
        </w:rPr>
        <w:t xml:space="preserve"> (see Graphic 1)</w:t>
      </w:r>
      <w:r w:rsidRPr="005F7F2E">
        <w:rPr>
          <w:sz w:val="22"/>
          <w:szCs w:val="22"/>
        </w:rPr>
        <w:t xml:space="preserve">. </w:t>
      </w:r>
    </w:p>
    <w:p w:rsidR="00353ED4" w:rsidRPr="005F7F2E" w:rsidRDefault="00353ED4" w:rsidP="009961AB">
      <w:pPr>
        <w:ind w:left="567"/>
        <w:jc w:val="both"/>
        <w:rPr>
          <w:sz w:val="22"/>
          <w:szCs w:val="22"/>
        </w:rPr>
      </w:pPr>
      <w:r w:rsidRPr="005F7F2E">
        <w:rPr>
          <w:sz w:val="22"/>
          <w:szCs w:val="22"/>
        </w:rPr>
        <w:t>The normative scope, competence, purpose and organization of the M</w:t>
      </w:r>
      <w:r>
        <w:rPr>
          <w:sz w:val="22"/>
          <w:szCs w:val="22"/>
        </w:rPr>
        <w:t>INSA</w:t>
      </w:r>
      <w:r w:rsidRPr="005F7F2E">
        <w:rPr>
          <w:sz w:val="22"/>
          <w:szCs w:val="22"/>
        </w:rPr>
        <w:t>, of its decentralized institutions and of its support entities, are defined in the M</w:t>
      </w:r>
      <w:r>
        <w:rPr>
          <w:sz w:val="22"/>
          <w:szCs w:val="22"/>
        </w:rPr>
        <w:t>INSA</w:t>
      </w:r>
      <w:r w:rsidRPr="005F7F2E">
        <w:rPr>
          <w:sz w:val="22"/>
          <w:szCs w:val="22"/>
        </w:rPr>
        <w:t xml:space="preserve"> Law and its Statutory, which assigns it the sectors management of the National Health System. </w:t>
      </w:r>
    </w:p>
    <w:p w:rsidR="00353ED4" w:rsidRPr="005F7F2E" w:rsidRDefault="00353ED4" w:rsidP="00E55764">
      <w:pPr>
        <w:ind w:left="567"/>
        <w:jc w:val="both"/>
        <w:rPr>
          <w:sz w:val="22"/>
          <w:szCs w:val="22"/>
        </w:rPr>
      </w:pPr>
      <w:r w:rsidRPr="005F7F2E">
        <w:rPr>
          <w:sz w:val="22"/>
          <w:szCs w:val="22"/>
        </w:rPr>
        <w:t xml:space="preserve">The public subsector has gone through two important processes. The first one is the process of decentralization of the health services, initiated in 2003. </w:t>
      </w:r>
      <w:r w:rsidRPr="005F7F2E">
        <w:rPr>
          <w:rFonts w:cs="Tahoma"/>
          <w:sz w:val="22"/>
          <w:szCs w:val="22"/>
        </w:rPr>
        <w:t xml:space="preserve">This process is defined as </w:t>
      </w:r>
      <w:r w:rsidRPr="005F7F2E">
        <w:rPr>
          <w:sz w:val="22"/>
          <w:szCs w:val="22"/>
        </w:rPr>
        <w:t xml:space="preserve">the reallocation of the power from the central level to the regional and local levels. For being national and government policies, the decentralization process has became a way of organization for the national government and its institutions, stimulating strongly the MINSA, and although in a lesser extent, the other public actors in the health sector, such as EsSalud and the Police, Army and Navy Health Instances. The process is now in the phase of delegating the health duties to the regional health authorities in a formal way. </w:t>
      </w:r>
    </w:p>
    <w:p w:rsidR="00353ED4" w:rsidRPr="005F7F2E" w:rsidRDefault="00353ED4" w:rsidP="009C6718">
      <w:pPr>
        <w:ind w:left="567"/>
        <w:jc w:val="both"/>
        <w:rPr>
          <w:rStyle w:val="apple-style-span"/>
          <w:sz w:val="22"/>
          <w:szCs w:val="22"/>
        </w:rPr>
      </w:pPr>
      <w:r w:rsidRPr="005F7F2E">
        <w:rPr>
          <w:sz w:val="22"/>
          <w:szCs w:val="22"/>
        </w:rPr>
        <w:t xml:space="preserve">The second process, just recently approved by Congress in March of 2009, is the Universal Insurance, in charge of the Integrated Health Insurance (SIS). </w:t>
      </w:r>
      <w:r w:rsidRPr="005F7F2E">
        <w:rPr>
          <w:rStyle w:val="apple-style-span"/>
          <w:sz w:val="22"/>
          <w:szCs w:val="22"/>
        </w:rPr>
        <w:t xml:space="preserve">SIS (standing </w:t>
      </w:r>
      <w:r>
        <w:rPr>
          <w:rStyle w:val="apple-style-span"/>
          <w:sz w:val="22"/>
          <w:szCs w:val="22"/>
        </w:rPr>
        <w:t>Seguro Integral de Salud</w:t>
      </w:r>
      <w:r w:rsidRPr="005F7F2E">
        <w:rPr>
          <w:rStyle w:val="apple-style-span"/>
          <w:sz w:val="22"/>
          <w:szCs w:val="22"/>
        </w:rPr>
        <w:t xml:space="preserve"> in Spanish) is a government’s health insurance program directed to poor people with less access to medical services. The SIS was created in 2002 absorbing the Child and Maternal Health Insurance. Since then, it has then broadened its coverage. It counts, by the end of 2008, with </w:t>
      </w:r>
      <w:r w:rsidRPr="005F7F2E">
        <w:rPr>
          <w:sz w:val="22"/>
          <w:szCs w:val="22"/>
        </w:rPr>
        <w:t>10’358,793 insured (SIS, 2008).</w:t>
      </w:r>
      <w:r w:rsidRPr="005F7F2E">
        <w:rPr>
          <w:rStyle w:val="apple-style-span"/>
          <w:sz w:val="22"/>
          <w:szCs w:val="22"/>
        </w:rPr>
        <w:t xml:space="preserve"> </w:t>
      </w:r>
    </w:p>
    <w:p w:rsidR="00353ED4" w:rsidRPr="005F7F2E" w:rsidRDefault="00353ED4" w:rsidP="008C7688">
      <w:pPr>
        <w:ind w:left="567"/>
        <w:jc w:val="both"/>
        <w:rPr>
          <w:sz w:val="22"/>
          <w:szCs w:val="22"/>
        </w:rPr>
      </w:pPr>
      <w:r w:rsidRPr="005F7F2E">
        <w:rPr>
          <w:sz w:val="22"/>
          <w:szCs w:val="22"/>
        </w:rPr>
        <w:t xml:space="preserve">According to the framework law, Ley 29344 of Universal Insurance, the main goal of the Universal Insurance is to cover all Peruvian residents a minimum of health services (including prevention, promotion, recovery and rehabilitation); these services are determined in the Essential Health Insurance Plan (PEAS). The PEAS was established based on the disease burden, and accounts for 185 benefits, that include obstetric, gynecologic, pediatric, oncologic, contagious and non-contagious conditions. The law was published in April of 2009 to be progressively applied, starting in the country’s poorer regions. The pilot project is programmed to start in 2010 in Apurimac, Ayacucho and Huancavelica, the three poorest regions in Peru. The government plan, a very ambitious one, is to start guarantying 140 benefits, around 65% of the PEAS burden. </w:t>
      </w:r>
    </w:p>
    <w:p w:rsidR="00353ED4" w:rsidRDefault="00353ED4" w:rsidP="008A745E">
      <w:pPr>
        <w:pStyle w:val="Epgrafe"/>
        <w:jc w:val="center"/>
        <w:rPr>
          <w:color w:val="auto"/>
          <w:sz w:val="22"/>
        </w:rPr>
      </w:pPr>
      <w:bookmarkStart w:id="11" w:name="_Ref245841186"/>
      <w:bookmarkStart w:id="12" w:name="_Ref246781399"/>
      <w:r w:rsidRPr="00815FA1">
        <w:rPr>
          <w:color w:val="auto"/>
          <w:sz w:val="22"/>
        </w:rPr>
        <w:t xml:space="preserve">Graphic </w:t>
      </w:r>
      <w:r w:rsidRPr="00815FA1">
        <w:rPr>
          <w:color w:val="auto"/>
          <w:sz w:val="22"/>
        </w:rPr>
        <w:fldChar w:fldCharType="begin"/>
      </w:r>
      <w:r w:rsidRPr="00815FA1">
        <w:rPr>
          <w:color w:val="auto"/>
          <w:sz w:val="22"/>
        </w:rPr>
        <w:instrText xml:space="preserve"> SEQ Graphic \* ARABIC </w:instrText>
      </w:r>
      <w:r w:rsidRPr="00815FA1">
        <w:rPr>
          <w:color w:val="auto"/>
          <w:sz w:val="22"/>
        </w:rPr>
        <w:fldChar w:fldCharType="separate"/>
      </w:r>
      <w:r w:rsidRPr="00815FA1">
        <w:rPr>
          <w:color w:val="auto"/>
          <w:sz w:val="22"/>
        </w:rPr>
        <w:t>1</w:t>
      </w:r>
      <w:r w:rsidRPr="00815FA1">
        <w:rPr>
          <w:color w:val="auto"/>
          <w:sz w:val="22"/>
        </w:rPr>
        <w:fldChar w:fldCharType="end"/>
      </w:r>
      <w:bookmarkEnd w:id="11"/>
      <w:bookmarkEnd w:id="12"/>
      <w:r w:rsidRPr="00815FA1">
        <w:rPr>
          <w:color w:val="auto"/>
          <w:sz w:val="22"/>
        </w:rPr>
        <w:t>: Agents in Health Services Assistance</w:t>
      </w:r>
    </w:p>
    <w:p w:rsidR="00353ED4" w:rsidRPr="00D329B1" w:rsidRDefault="00132204" w:rsidP="006243E2">
      <w:pPr>
        <w:ind w:left="-426"/>
        <w:jc w:val="center"/>
        <w:rPr>
          <w:i/>
        </w:rPr>
      </w:pPr>
      <w:r>
        <w:rPr>
          <w:i/>
          <w:noProof/>
          <w:lang w:val="es-PE" w:eastAsia="es-PE"/>
        </w:rPr>
        <w:drawing>
          <wp:inline distT="0" distB="0" distL="0" distR="0">
            <wp:extent cx="5638800" cy="3333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333750"/>
                    </a:xfrm>
                    <a:prstGeom prst="rect">
                      <a:avLst/>
                    </a:prstGeom>
                    <a:noFill/>
                    <a:ln>
                      <a:noFill/>
                    </a:ln>
                  </pic:spPr>
                </pic:pic>
              </a:graphicData>
            </a:graphic>
          </wp:inline>
        </w:drawing>
      </w:r>
    </w:p>
    <w:p w:rsidR="00353ED4" w:rsidRPr="006243E2" w:rsidRDefault="00353ED4" w:rsidP="006243E2"/>
    <w:p w:rsidR="00353ED4" w:rsidRPr="005F7F2E" w:rsidRDefault="00353ED4" w:rsidP="00B5075C">
      <w:pPr>
        <w:ind w:firstLine="708"/>
        <w:jc w:val="both"/>
        <w:rPr>
          <w:sz w:val="22"/>
          <w:szCs w:val="22"/>
        </w:rPr>
      </w:pPr>
      <w:r w:rsidRPr="005F7F2E">
        <w:rPr>
          <w:sz w:val="22"/>
          <w:szCs w:val="22"/>
        </w:rPr>
        <w:t>Source: MINSA/CIES, 2008</w:t>
      </w:r>
    </w:p>
    <w:p w:rsidR="00353ED4" w:rsidRPr="005F7F2E" w:rsidRDefault="00353ED4" w:rsidP="009C6718">
      <w:pPr>
        <w:ind w:left="567"/>
        <w:jc w:val="both"/>
        <w:rPr>
          <w:sz w:val="22"/>
          <w:szCs w:val="22"/>
        </w:rPr>
      </w:pPr>
      <w:r w:rsidRPr="005F7F2E">
        <w:rPr>
          <w:sz w:val="22"/>
          <w:szCs w:val="22"/>
        </w:rPr>
        <w:t>The DIRESAs are the sector health organizations in the regional governments. These governments enjoy limited independent in a politic, economic and administrative way, and provide health services through their establishment’s net which is organized in three levels of assistance accordance to the complexity of the case.</w:t>
      </w:r>
    </w:p>
    <w:p w:rsidR="00353ED4" w:rsidRPr="005F7F2E" w:rsidRDefault="00353ED4" w:rsidP="009C6718">
      <w:pPr>
        <w:ind w:left="567"/>
        <w:jc w:val="both"/>
        <w:rPr>
          <w:sz w:val="22"/>
          <w:szCs w:val="22"/>
        </w:rPr>
      </w:pPr>
      <w:r w:rsidRPr="005F7F2E">
        <w:rPr>
          <w:sz w:val="22"/>
          <w:szCs w:val="22"/>
        </w:rPr>
        <w:t xml:space="preserve">In the local field, the City Halls and charity organizations are the responsible for the administration and for the budget of some health establishments.  </w:t>
      </w:r>
    </w:p>
    <w:p w:rsidR="00353ED4" w:rsidRPr="005F7F2E" w:rsidRDefault="00353ED4" w:rsidP="009C6718">
      <w:pPr>
        <w:ind w:left="567"/>
        <w:jc w:val="both"/>
        <w:rPr>
          <w:sz w:val="22"/>
          <w:szCs w:val="22"/>
        </w:rPr>
      </w:pPr>
      <w:r w:rsidRPr="005F7F2E">
        <w:rPr>
          <w:sz w:val="22"/>
          <w:szCs w:val="22"/>
        </w:rPr>
        <w:t xml:space="preserve">The Police, Army and Navy Health instances provide health services to its members, direct family and workers through their own health establishments.  They mainly finance with treasury funds, and in a lesser extent with the co-payments.  </w:t>
      </w:r>
    </w:p>
    <w:p w:rsidR="00353ED4" w:rsidRPr="005F7F2E" w:rsidRDefault="00353ED4" w:rsidP="009961AB">
      <w:pPr>
        <w:ind w:left="567"/>
        <w:jc w:val="both"/>
        <w:rPr>
          <w:sz w:val="22"/>
          <w:szCs w:val="22"/>
        </w:rPr>
      </w:pPr>
      <w:r w:rsidRPr="005F7F2E">
        <w:rPr>
          <w:sz w:val="22"/>
          <w:szCs w:val="22"/>
        </w:rPr>
        <w:t xml:space="preserve">The institution responsible for the social security of the health sector is EsSalud, which depends on the Ministry of Labor. In accordance to its law of creation, this institution provides health, economic and social services, which complements its insurance role. </w:t>
      </w:r>
      <w:r>
        <w:rPr>
          <w:sz w:val="22"/>
          <w:szCs w:val="22"/>
        </w:rPr>
        <w:t>In</w:t>
      </w:r>
      <w:r w:rsidRPr="005F7F2E">
        <w:rPr>
          <w:sz w:val="22"/>
          <w:szCs w:val="22"/>
        </w:rPr>
        <w:t xml:space="preserve"> EsSalud are affiliated mainly the workers of the formal sector of the economy, and its direct relatives. This entity is financed with contributions from the payroll, and provides health services through its specialized institutions, and a net of hospitals, polyclinics, medical and emergency centers. The modernization process of the social security in health has consisted in the partial break-up of the monopoly of EsSalud provider’s system. Now, the social security complements with the Health Providers Entities (EPS), properly accredited in the Superintendence of Health Providers Entities, which provide health services of a lower complexity in private establishments. The EPS appearance, in the year 2005, achieved 9.3% of the total financial resources gather in two and then t</w:t>
      </w:r>
      <w:r>
        <w:rPr>
          <w:sz w:val="22"/>
          <w:szCs w:val="22"/>
        </w:rPr>
        <w:t>hree finance funds</w:t>
      </w:r>
      <w:r w:rsidRPr="005F7F2E">
        <w:rPr>
          <w:sz w:val="22"/>
          <w:szCs w:val="22"/>
        </w:rPr>
        <w:t>. That percentage begins to approach to the 11% that manage the private insurances. The benefits of the EPS system are basically three:</w:t>
      </w:r>
    </w:p>
    <w:p w:rsidR="00353ED4" w:rsidRPr="005F7F2E" w:rsidRDefault="00353ED4" w:rsidP="009961AB">
      <w:pPr>
        <w:numPr>
          <w:ilvl w:val="0"/>
          <w:numId w:val="6"/>
        </w:numPr>
        <w:ind w:left="1134"/>
        <w:jc w:val="both"/>
        <w:rPr>
          <w:sz w:val="22"/>
          <w:szCs w:val="22"/>
        </w:rPr>
      </w:pPr>
      <w:r w:rsidRPr="005F7F2E">
        <w:rPr>
          <w:sz w:val="22"/>
          <w:szCs w:val="22"/>
        </w:rPr>
        <w:t>Knowledge of the operative mechanisms of the private providers sector, on behalf of the M</w:t>
      </w:r>
      <w:r>
        <w:rPr>
          <w:sz w:val="22"/>
          <w:szCs w:val="22"/>
        </w:rPr>
        <w:t>INSA</w:t>
      </w:r>
      <w:r w:rsidRPr="005F7F2E">
        <w:rPr>
          <w:sz w:val="22"/>
          <w:szCs w:val="22"/>
        </w:rPr>
        <w:t>.</w:t>
      </w:r>
    </w:p>
    <w:p w:rsidR="00353ED4" w:rsidRPr="005F7F2E" w:rsidRDefault="00353ED4" w:rsidP="009C6718">
      <w:pPr>
        <w:numPr>
          <w:ilvl w:val="0"/>
          <w:numId w:val="6"/>
        </w:numPr>
        <w:ind w:left="1134"/>
        <w:jc w:val="both"/>
        <w:rPr>
          <w:sz w:val="22"/>
          <w:szCs w:val="22"/>
        </w:rPr>
      </w:pPr>
      <w:r w:rsidRPr="005F7F2E">
        <w:rPr>
          <w:sz w:val="22"/>
          <w:szCs w:val="22"/>
        </w:rPr>
        <w:t>Speed in the adoption of methods and mechanisms suggested by the MINSA.</w:t>
      </w:r>
    </w:p>
    <w:p w:rsidR="00353ED4" w:rsidRPr="005F7F2E" w:rsidRDefault="00353ED4" w:rsidP="009C6718">
      <w:pPr>
        <w:numPr>
          <w:ilvl w:val="0"/>
          <w:numId w:val="6"/>
        </w:numPr>
        <w:ind w:left="1134"/>
        <w:jc w:val="both"/>
        <w:rPr>
          <w:sz w:val="22"/>
          <w:szCs w:val="22"/>
        </w:rPr>
      </w:pPr>
      <w:r w:rsidRPr="005F7F2E">
        <w:rPr>
          <w:sz w:val="22"/>
          <w:szCs w:val="22"/>
        </w:rPr>
        <w:t>Transparency and accountability.</w:t>
      </w:r>
    </w:p>
    <w:p w:rsidR="00353ED4" w:rsidRPr="005F7F2E" w:rsidRDefault="00353ED4" w:rsidP="009961AB">
      <w:pPr>
        <w:ind w:left="567"/>
        <w:jc w:val="both"/>
        <w:rPr>
          <w:sz w:val="22"/>
          <w:szCs w:val="22"/>
        </w:rPr>
      </w:pPr>
      <w:r w:rsidRPr="005F7F2E">
        <w:rPr>
          <w:sz w:val="22"/>
          <w:szCs w:val="22"/>
        </w:rPr>
        <w:t>According to Graphic 1, it’s clear how fragmented and segmented is the health sector in Peru. This means a poor functional coordination among the different public institutions, and among the public and private ones to adopt common strategies and share financial, infrastructure and human resources. The coexistence of the social security, the private, and public sector, causes disintegration of the financial funds and of the provider structure. These condition the solidarity mechanisms and the capacities to rationalize and coordinate the providers supply (CEPAL, 2006). As well, it leads to effectiveness problems in the system as a whole, due to the inefficiency in the allocation of the resources. The newly assigned rolls of the national, regional and local levels in the decentralization process and in the framework law of Universal Insurance will force a deep realignment in the organization of the different levels of government.</w:t>
      </w:r>
    </w:p>
    <w:p w:rsidR="00353ED4" w:rsidRPr="00F37291" w:rsidRDefault="00353ED4" w:rsidP="008937E1">
      <w:pPr>
        <w:pStyle w:val="Ttulo3"/>
        <w:numPr>
          <w:ilvl w:val="0"/>
          <w:numId w:val="14"/>
        </w:numPr>
        <w:tabs>
          <w:tab w:val="left" w:pos="567"/>
        </w:tabs>
        <w:ind w:left="284" w:firstLine="0"/>
        <w:rPr>
          <w:rStyle w:val="apple-style-span"/>
        </w:rPr>
      </w:pPr>
      <w:bookmarkStart w:id="13" w:name="_Toc254270021"/>
      <w:r w:rsidRPr="00F37291">
        <w:rPr>
          <w:rStyle w:val="apple-style-span"/>
        </w:rPr>
        <w:t>Private Subsector</w:t>
      </w:r>
      <w:bookmarkEnd w:id="13"/>
    </w:p>
    <w:p w:rsidR="00353ED4" w:rsidRPr="005F7F2E" w:rsidRDefault="00353ED4" w:rsidP="009C6718">
      <w:pPr>
        <w:ind w:left="567"/>
        <w:jc w:val="both"/>
        <w:rPr>
          <w:sz w:val="22"/>
        </w:rPr>
      </w:pPr>
      <w:r w:rsidRPr="005F7F2E">
        <w:rPr>
          <w:sz w:val="22"/>
        </w:rPr>
        <w:t>The formal private health services providers are the private specialized and non specialized clinics, the medical centers and polyclinics, the medical and dental offices, the laboratories, image diagnostic services. As informal providers, can name the providers of traditional medicine, quack doctors, midwifes, amongst others.</w:t>
      </w:r>
    </w:p>
    <w:p w:rsidR="00353ED4" w:rsidRPr="00815FA1" w:rsidRDefault="00353ED4" w:rsidP="009C6718">
      <w:pPr>
        <w:rPr>
          <w:rStyle w:val="apple-style-span"/>
          <w:b/>
        </w:rPr>
      </w:pPr>
    </w:p>
    <w:p w:rsidR="00353ED4" w:rsidRPr="00F37291" w:rsidRDefault="00353ED4" w:rsidP="008937E1">
      <w:pPr>
        <w:pStyle w:val="Ttulo2"/>
        <w:numPr>
          <w:ilvl w:val="0"/>
          <w:numId w:val="18"/>
        </w:numPr>
        <w:ind w:left="426"/>
        <w:rPr>
          <w:rStyle w:val="apple-style-span"/>
        </w:rPr>
      </w:pPr>
      <w:bookmarkStart w:id="14" w:name="_Toc254270022"/>
      <w:r w:rsidRPr="00F37291">
        <w:rPr>
          <w:rStyle w:val="apple-style-span"/>
        </w:rPr>
        <w:t>Agents, fonts and providers</w:t>
      </w:r>
      <w:bookmarkEnd w:id="14"/>
      <w:r w:rsidRPr="00F37291">
        <w:rPr>
          <w:rStyle w:val="apple-style-span"/>
        </w:rPr>
        <w:t xml:space="preserve"> </w:t>
      </w:r>
    </w:p>
    <w:p w:rsidR="00353ED4" w:rsidRPr="00815FA1" w:rsidRDefault="00353ED4" w:rsidP="009C6718"/>
    <w:p w:rsidR="00353ED4" w:rsidRPr="005F7F2E" w:rsidRDefault="00353ED4" w:rsidP="008740A2">
      <w:pPr>
        <w:jc w:val="both"/>
        <w:rPr>
          <w:sz w:val="22"/>
        </w:rPr>
      </w:pPr>
      <w:r w:rsidRPr="005F7F2E">
        <w:rPr>
          <w:sz w:val="22"/>
        </w:rPr>
        <w:t>The entities that are related with the health services are organized in accordance with their financial functions (fonts), intermediaries (funds) and health services providers.</w:t>
      </w:r>
    </w:p>
    <w:p w:rsidR="00353ED4" w:rsidRPr="00F37291" w:rsidRDefault="00353ED4" w:rsidP="008A745E">
      <w:pPr>
        <w:pStyle w:val="Ttulo3"/>
        <w:numPr>
          <w:ilvl w:val="0"/>
          <w:numId w:val="15"/>
        </w:numPr>
        <w:rPr>
          <w:rStyle w:val="apple-style-span"/>
        </w:rPr>
      </w:pPr>
      <w:bookmarkStart w:id="15" w:name="_Toc254270023"/>
      <w:r w:rsidRPr="00F37291">
        <w:rPr>
          <w:rStyle w:val="apple-style-span"/>
        </w:rPr>
        <w:t>Entities and Fonts</w:t>
      </w:r>
      <w:bookmarkEnd w:id="15"/>
    </w:p>
    <w:p w:rsidR="00353ED4" w:rsidRPr="005F7F2E" w:rsidRDefault="00353ED4" w:rsidP="009C6718">
      <w:pPr>
        <w:ind w:left="567"/>
        <w:jc w:val="both"/>
        <w:rPr>
          <w:sz w:val="22"/>
        </w:rPr>
      </w:pPr>
      <w:r w:rsidRPr="005F7F2E">
        <w:rPr>
          <w:b/>
          <w:sz w:val="22"/>
          <w:u w:val="single"/>
        </w:rPr>
        <w:t>Government:</w:t>
      </w:r>
      <w:r w:rsidRPr="005F7F2E">
        <w:rPr>
          <w:sz w:val="22"/>
        </w:rPr>
        <w:t xml:space="preserve"> Is the entity responsible for the allocation of the fiscal budget. Its financial sources are the Ordinary Resources (they come mainly from tax income), Directly Collected Resources, Indebtedness and Determined Resources (come mainly from mining canon and customs). </w:t>
      </w:r>
    </w:p>
    <w:p w:rsidR="00353ED4" w:rsidRPr="005F7F2E" w:rsidRDefault="00353ED4" w:rsidP="009C6718">
      <w:pPr>
        <w:ind w:left="567"/>
        <w:jc w:val="both"/>
        <w:rPr>
          <w:sz w:val="22"/>
        </w:rPr>
      </w:pPr>
      <w:r w:rsidRPr="005F7F2E">
        <w:rPr>
          <w:b/>
          <w:sz w:val="22"/>
          <w:u w:val="single"/>
        </w:rPr>
        <w:t>Employers in general (public and private):</w:t>
      </w:r>
      <w:r w:rsidRPr="005F7F2E">
        <w:rPr>
          <w:sz w:val="22"/>
        </w:rPr>
        <w:t xml:space="preserve"> They allocate to the health social security the contributions from payrolls. In Peru, it is 9% of the remuneration.  They can also allocate voluntary contributions to private health insurance.</w:t>
      </w:r>
    </w:p>
    <w:p w:rsidR="00353ED4" w:rsidRPr="005F7F2E" w:rsidRDefault="00353ED4" w:rsidP="009C6718">
      <w:pPr>
        <w:ind w:left="567"/>
        <w:jc w:val="both"/>
        <w:rPr>
          <w:sz w:val="22"/>
        </w:rPr>
      </w:pPr>
      <w:r w:rsidRPr="005F7F2E">
        <w:rPr>
          <w:b/>
          <w:sz w:val="22"/>
          <w:u w:val="single"/>
        </w:rPr>
        <w:t xml:space="preserve">Households: </w:t>
      </w:r>
      <w:r w:rsidRPr="005F7F2E">
        <w:rPr>
          <w:sz w:val="22"/>
        </w:rPr>
        <w:t>They finance their health services through the “pocket payment”, paying for health services and medicines, and purchasing health insurances. They can also participate with their employers in the financing of their insurances (insurance premium, deductible copayments) and acquire by their own a facultative insurance with the social security.</w:t>
      </w:r>
    </w:p>
    <w:p w:rsidR="00353ED4" w:rsidRPr="005F7F2E" w:rsidRDefault="00353ED4" w:rsidP="009C6718">
      <w:pPr>
        <w:ind w:left="567"/>
        <w:jc w:val="both"/>
        <w:rPr>
          <w:sz w:val="22"/>
        </w:rPr>
      </w:pPr>
      <w:r w:rsidRPr="005F7F2E">
        <w:rPr>
          <w:b/>
          <w:sz w:val="22"/>
          <w:u w:val="single"/>
        </w:rPr>
        <w:t>External Aid Workers:</w:t>
      </w:r>
      <w:r w:rsidRPr="005F7F2E">
        <w:rPr>
          <w:sz w:val="22"/>
        </w:rPr>
        <w:t xml:space="preserve"> Allocate resources received as donations from the several international entities.</w:t>
      </w:r>
    </w:p>
    <w:p w:rsidR="00353ED4" w:rsidRDefault="00353ED4" w:rsidP="009C6718">
      <w:pPr>
        <w:ind w:left="567"/>
        <w:jc w:val="both"/>
        <w:rPr>
          <w:sz w:val="22"/>
        </w:rPr>
      </w:pPr>
      <w:r w:rsidRPr="005F7F2E">
        <w:rPr>
          <w:b/>
          <w:sz w:val="22"/>
          <w:u w:val="single"/>
        </w:rPr>
        <w:t>Others:</w:t>
      </w:r>
      <w:r w:rsidRPr="005F7F2E">
        <w:rPr>
          <w:sz w:val="22"/>
        </w:rPr>
        <w:t xml:space="preserve"> Entities that make internal donations; income gained as the result from the sale of obsolete and wasted equipment from the health services providers; income generated from the rents of assets (financial deposits and real estate) of the social insurance. </w:t>
      </w:r>
    </w:p>
    <w:p w:rsidR="00353ED4" w:rsidRDefault="00353ED4" w:rsidP="009C6718">
      <w:pPr>
        <w:ind w:left="567"/>
        <w:jc w:val="both"/>
        <w:rPr>
          <w:sz w:val="22"/>
        </w:rPr>
      </w:pPr>
    </w:p>
    <w:p w:rsidR="00353ED4" w:rsidRDefault="00353ED4" w:rsidP="009C6718">
      <w:pPr>
        <w:ind w:left="567"/>
        <w:jc w:val="both"/>
        <w:rPr>
          <w:sz w:val="22"/>
        </w:rPr>
      </w:pPr>
    </w:p>
    <w:p w:rsidR="00353ED4" w:rsidRDefault="00353ED4" w:rsidP="009C6718">
      <w:pPr>
        <w:ind w:left="567"/>
        <w:jc w:val="both"/>
        <w:rPr>
          <w:sz w:val="22"/>
        </w:rPr>
      </w:pPr>
    </w:p>
    <w:p w:rsidR="00353ED4" w:rsidRPr="00F37291" w:rsidRDefault="00353ED4" w:rsidP="008A745E">
      <w:pPr>
        <w:pStyle w:val="Ttulo3"/>
        <w:numPr>
          <w:ilvl w:val="0"/>
          <w:numId w:val="15"/>
        </w:numPr>
        <w:rPr>
          <w:rStyle w:val="apple-style-span"/>
        </w:rPr>
      </w:pPr>
      <w:bookmarkStart w:id="16" w:name="_Toc254270024"/>
      <w:r w:rsidRPr="00F37291">
        <w:rPr>
          <w:rStyle w:val="apple-style-span"/>
        </w:rPr>
        <w:t>Health Providers</w:t>
      </w:r>
      <w:bookmarkEnd w:id="16"/>
    </w:p>
    <w:p w:rsidR="00353ED4" w:rsidRPr="00815FA1" w:rsidRDefault="00353ED4" w:rsidP="009C6718">
      <w:pPr>
        <w:spacing w:after="0"/>
        <w:ind w:left="567"/>
        <w:jc w:val="both"/>
        <w:rPr>
          <w:b/>
          <w:u w:val="single"/>
        </w:rPr>
      </w:pPr>
    </w:p>
    <w:p w:rsidR="00353ED4" w:rsidRPr="005F7F2E" w:rsidRDefault="00353ED4" w:rsidP="009C6718">
      <w:pPr>
        <w:ind w:left="567"/>
        <w:jc w:val="both"/>
        <w:rPr>
          <w:sz w:val="22"/>
        </w:rPr>
      </w:pPr>
      <w:r w:rsidRPr="005F7F2E">
        <w:rPr>
          <w:b/>
          <w:sz w:val="22"/>
          <w:u w:val="single"/>
        </w:rPr>
        <w:t>Ministry of Health and Regional Health Directorates:</w:t>
      </w:r>
      <w:r w:rsidRPr="005F7F2E">
        <w:rPr>
          <w:sz w:val="22"/>
        </w:rPr>
        <w:t xml:space="preserve"> They cover all the net of establishments that provide health services. They receive financial resources from the Government, the households, external aid workers, and from the internal donors.</w:t>
      </w:r>
    </w:p>
    <w:p w:rsidR="00353ED4" w:rsidRPr="005F7F2E" w:rsidRDefault="00353ED4" w:rsidP="009C6718">
      <w:pPr>
        <w:ind w:left="567"/>
        <w:jc w:val="both"/>
        <w:rPr>
          <w:sz w:val="22"/>
        </w:rPr>
      </w:pPr>
      <w:r w:rsidRPr="005F7F2E">
        <w:rPr>
          <w:b/>
          <w:sz w:val="22"/>
          <w:u w:val="single"/>
        </w:rPr>
        <w:t>Police, Army and Navy Health Instances:</w:t>
      </w:r>
      <w:r w:rsidRPr="005F7F2E">
        <w:rPr>
          <w:sz w:val="22"/>
        </w:rPr>
        <w:t xml:space="preserve"> They cover all the net of establishments that provide health services of these institutions. They receive financial resources from the Government, contributions from payrolls and from the households.</w:t>
      </w:r>
    </w:p>
    <w:p w:rsidR="00353ED4" w:rsidRPr="005F7F2E" w:rsidRDefault="00353ED4" w:rsidP="009C6718">
      <w:pPr>
        <w:ind w:left="567"/>
        <w:jc w:val="both"/>
        <w:rPr>
          <w:sz w:val="22"/>
        </w:rPr>
      </w:pPr>
      <w:r w:rsidRPr="005F7F2E">
        <w:rPr>
          <w:b/>
          <w:sz w:val="22"/>
          <w:u w:val="single"/>
        </w:rPr>
        <w:t>Other public providers:</w:t>
      </w:r>
      <w:r w:rsidRPr="005F7F2E">
        <w:rPr>
          <w:sz w:val="22"/>
        </w:rPr>
        <w:t xml:space="preserve"> This category gathers the establishments that provide health services of the charity organizations and City Halls. They receive financial resources from the Government, the households and external aid workers.</w:t>
      </w:r>
    </w:p>
    <w:p w:rsidR="00353ED4" w:rsidRPr="005F7F2E" w:rsidRDefault="00353ED4" w:rsidP="009C6718">
      <w:pPr>
        <w:ind w:left="567"/>
        <w:jc w:val="both"/>
        <w:rPr>
          <w:sz w:val="22"/>
        </w:rPr>
      </w:pPr>
      <w:r w:rsidRPr="005F7F2E">
        <w:rPr>
          <w:b/>
          <w:sz w:val="22"/>
          <w:u w:val="single"/>
        </w:rPr>
        <w:t>EsSalud:</w:t>
      </w:r>
      <w:r w:rsidRPr="005F7F2E">
        <w:rPr>
          <w:sz w:val="22"/>
        </w:rPr>
        <w:t xml:space="preserve"> Includes all its net of establishments that provide health services. Receives financial resources from the employers, and in a lesser extent, from the purchase of independent workers insurance plans acquire by the households.</w:t>
      </w:r>
    </w:p>
    <w:p w:rsidR="00353ED4" w:rsidRPr="005F7F2E" w:rsidRDefault="00353ED4" w:rsidP="009C6718">
      <w:pPr>
        <w:ind w:left="567"/>
        <w:jc w:val="both"/>
        <w:rPr>
          <w:sz w:val="22"/>
        </w:rPr>
      </w:pPr>
      <w:r w:rsidRPr="005F7F2E">
        <w:rPr>
          <w:b/>
          <w:sz w:val="22"/>
          <w:u w:val="single"/>
        </w:rPr>
        <w:t>Private Profit:</w:t>
      </w:r>
      <w:r w:rsidRPr="005F7F2E">
        <w:rPr>
          <w:sz w:val="22"/>
        </w:rPr>
        <w:t xml:space="preserve"> Category conformed by the specialized and non specialized private clinics, medical centers and polyclinics, medical and dental offices, laboratories, image diagnostic services, and also by health establishments of some companies (mining, oil and sugar refineries mainly). This category also includes the providers of traditional and alternative medicine. They receive financial resources from the households and from the private insurance companies.</w:t>
      </w:r>
    </w:p>
    <w:p w:rsidR="00353ED4" w:rsidRPr="005F7F2E" w:rsidRDefault="00353ED4" w:rsidP="009C6718">
      <w:pPr>
        <w:ind w:left="567"/>
        <w:jc w:val="both"/>
        <w:rPr>
          <w:sz w:val="22"/>
        </w:rPr>
      </w:pPr>
      <w:r w:rsidRPr="005F7F2E">
        <w:rPr>
          <w:b/>
          <w:sz w:val="22"/>
          <w:u w:val="single"/>
        </w:rPr>
        <w:t>Private Non Profit:</w:t>
      </w:r>
      <w:r w:rsidRPr="005F7F2E">
        <w:rPr>
          <w:sz w:val="22"/>
        </w:rPr>
        <w:t xml:space="preserve"> This category includes the emergency and medical centers of parish churches and missionary associations, Caritas, Peruvian League Against Cancer, Peruvian Institute of Responsible Paternity, PLANIFAM, therapeutic communities, Peruvian Red Cross, firemen companies and other non-governmental organizations that spend in health services. They receive financial resources from external aid workers, internal donors, Government and households.</w:t>
      </w:r>
    </w:p>
    <w:p w:rsidR="00353ED4" w:rsidRDefault="00353ED4" w:rsidP="009C6718">
      <w:pPr>
        <w:ind w:left="567"/>
        <w:jc w:val="both"/>
        <w:rPr>
          <w:sz w:val="22"/>
        </w:rPr>
      </w:pPr>
      <w:r w:rsidRPr="005F7F2E">
        <w:rPr>
          <w:b/>
          <w:sz w:val="22"/>
          <w:u w:val="single"/>
        </w:rPr>
        <w:t>Pharmacies:</w:t>
      </w:r>
      <w:r w:rsidRPr="005F7F2E">
        <w:rPr>
          <w:sz w:val="22"/>
        </w:rPr>
        <w:t xml:space="preserve"> Includes the pharmacies and drugstores, located near an institutional provider of health services. They finance with households purchases.</w:t>
      </w:r>
    </w:p>
    <w:p w:rsidR="00353ED4" w:rsidRDefault="00353ED4" w:rsidP="009C6718">
      <w:pPr>
        <w:ind w:left="567"/>
        <w:jc w:val="both"/>
        <w:rPr>
          <w:sz w:val="22"/>
        </w:rPr>
      </w:pPr>
    </w:p>
    <w:p w:rsidR="00353ED4" w:rsidRDefault="00353ED4" w:rsidP="009C6718">
      <w:pPr>
        <w:ind w:left="567"/>
        <w:jc w:val="both"/>
        <w:rPr>
          <w:sz w:val="22"/>
        </w:rPr>
      </w:pPr>
    </w:p>
    <w:p w:rsidR="00353ED4" w:rsidRPr="005F7F2E" w:rsidRDefault="00353ED4" w:rsidP="009C6718">
      <w:pPr>
        <w:ind w:left="567"/>
        <w:jc w:val="both"/>
        <w:rPr>
          <w:sz w:val="22"/>
        </w:rPr>
      </w:pPr>
    </w:p>
    <w:p w:rsidR="00353ED4" w:rsidRPr="00815FA1" w:rsidRDefault="00353ED4" w:rsidP="00137611">
      <w:pPr>
        <w:jc w:val="both"/>
        <w:rPr>
          <w:rStyle w:val="apple-style-span"/>
          <w:b/>
        </w:rPr>
      </w:pPr>
    </w:p>
    <w:p w:rsidR="00353ED4" w:rsidRPr="00F37291" w:rsidRDefault="00353ED4" w:rsidP="008937E1">
      <w:pPr>
        <w:pStyle w:val="Ttulo2"/>
        <w:numPr>
          <w:ilvl w:val="0"/>
          <w:numId w:val="18"/>
        </w:numPr>
        <w:ind w:left="426"/>
        <w:rPr>
          <w:rStyle w:val="apple-style-span"/>
        </w:rPr>
      </w:pPr>
      <w:bookmarkStart w:id="17" w:name="_Toc254270025"/>
      <w:r w:rsidRPr="00F37291">
        <w:rPr>
          <w:rStyle w:val="apple-style-span"/>
        </w:rPr>
        <w:t>Health sector diagnose</w:t>
      </w:r>
      <w:bookmarkEnd w:id="17"/>
    </w:p>
    <w:p w:rsidR="00353ED4" w:rsidRPr="00F37291" w:rsidRDefault="00353ED4" w:rsidP="009C6718">
      <w:pPr>
        <w:pStyle w:val="Ttulo3"/>
        <w:numPr>
          <w:ilvl w:val="0"/>
          <w:numId w:val="21"/>
        </w:numPr>
        <w:rPr>
          <w:rStyle w:val="apple-style-span"/>
        </w:rPr>
      </w:pPr>
      <w:bookmarkStart w:id="18" w:name="_Toc254270026"/>
      <w:r w:rsidRPr="00F37291">
        <w:rPr>
          <w:rStyle w:val="apple-style-span"/>
        </w:rPr>
        <w:t>Main health indicators</w:t>
      </w:r>
      <w:bookmarkEnd w:id="18"/>
    </w:p>
    <w:p w:rsidR="00353ED4" w:rsidRPr="005F7F2E" w:rsidRDefault="00353ED4" w:rsidP="009C6718">
      <w:pPr>
        <w:ind w:left="567"/>
        <w:jc w:val="both"/>
        <w:rPr>
          <w:sz w:val="22"/>
        </w:rPr>
      </w:pPr>
      <w:r w:rsidRPr="005F7F2E">
        <w:rPr>
          <w:sz w:val="22"/>
        </w:rPr>
        <w:t>Although Peru has been experiencing important economic growth for the last fifteen years</w:t>
      </w:r>
      <w:r w:rsidRPr="005F7F2E">
        <w:rPr>
          <w:sz w:val="22"/>
          <w:vertAlign w:val="superscript"/>
        </w:rPr>
        <w:footnoteReference w:id="2"/>
      </w:r>
      <w:r w:rsidRPr="005F7F2E">
        <w:rPr>
          <w:sz w:val="22"/>
        </w:rPr>
        <w:t xml:space="preserve">, development indicators, especially the ones related to poverty and health, have not experienced enough improvements. This is particularly true for the maternal and child health indicators (see Table 1). </w:t>
      </w:r>
    </w:p>
    <w:p w:rsidR="00353ED4" w:rsidRPr="005F7F2E" w:rsidRDefault="00353ED4" w:rsidP="00523653">
      <w:pPr>
        <w:ind w:left="567"/>
        <w:jc w:val="both"/>
        <w:rPr>
          <w:sz w:val="22"/>
        </w:rPr>
      </w:pPr>
      <w:r w:rsidRPr="005F7F2E">
        <w:rPr>
          <w:rStyle w:val="apple-style-span"/>
          <w:sz w:val="22"/>
        </w:rPr>
        <w:t>Maternal mortality rate (MMR) and proportions of professionally attended deliveries are widely accepted indicators for maternal health. In Peru, the maternal mortality rate in year 200</w:t>
      </w:r>
      <w:r>
        <w:rPr>
          <w:rStyle w:val="apple-style-span"/>
          <w:sz w:val="22"/>
        </w:rPr>
        <w:t>5</w:t>
      </w:r>
      <w:r w:rsidRPr="005F7F2E">
        <w:rPr>
          <w:rStyle w:val="apple-style-span"/>
          <w:sz w:val="22"/>
        </w:rPr>
        <w:t xml:space="preserve"> was 1</w:t>
      </w:r>
      <w:r>
        <w:rPr>
          <w:rStyle w:val="apple-style-span"/>
          <w:sz w:val="22"/>
        </w:rPr>
        <w:t>64</w:t>
      </w:r>
      <w:r w:rsidRPr="005F7F2E">
        <w:rPr>
          <w:rStyle w:val="apple-style-span"/>
          <w:sz w:val="22"/>
        </w:rPr>
        <w:t xml:space="preserve"> per 100,000 live births and the proportion of deliveries that received assistance from specialized sanitary staff was </w:t>
      </w:r>
      <w:r>
        <w:rPr>
          <w:rStyle w:val="apple-style-span"/>
          <w:sz w:val="22"/>
        </w:rPr>
        <w:t>72</w:t>
      </w:r>
      <w:r w:rsidRPr="005F7F2E">
        <w:rPr>
          <w:rStyle w:val="apple-style-span"/>
          <w:sz w:val="22"/>
        </w:rPr>
        <w:t>%. Both indicators are well above those from developed countries and even the Latin America &amp; Caribbean average.</w:t>
      </w:r>
      <w:r w:rsidRPr="005F7F2E">
        <w:rPr>
          <w:sz w:val="22"/>
        </w:rPr>
        <w:t xml:space="preserve"> Moreover, there are dramatic differences between Peruvian regions (see </w:t>
      </w:r>
      <w:r w:rsidR="00132204">
        <w:fldChar w:fldCharType="begin"/>
      </w:r>
      <w:r w:rsidR="00132204">
        <w:instrText xml:space="preserve"> REF _Ref245702087 \h  \* MERGEFORMAT </w:instrText>
      </w:r>
      <w:r w:rsidR="00132204">
        <w:fldChar w:fldCharType="separate"/>
      </w:r>
      <w:r w:rsidRPr="005F7F2E">
        <w:rPr>
          <w:sz w:val="22"/>
        </w:rPr>
        <w:t>Table 2</w:t>
      </w:r>
      <w:r w:rsidR="00132204">
        <w:fldChar w:fldCharType="end"/>
      </w:r>
      <w:r w:rsidRPr="005F7F2E">
        <w:rPr>
          <w:sz w:val="22"/>
        </w:rPr>
        <w:t xml:space="preserve">). </w:t>
      </w:r>
    </w:p>
    <w:p w:rsidR="00353ED4" w:rsidRPr="005F7F2E" w:rsidRDefault="00353ED4" w:rsidP="009C6718">
      <w:pPr>
        <w:ind w:left="567"/>
        <w:jc w:val="both"/>
        <w:rPr>
          <w:sz w:val="22"/>
        </w:rPr>
      </w:pPr>
      <w:r w:rsidRPr="005F7F2E">
        <w:rPr>
          <w:rStyle w:val="apple-style-span"/>
          <w:sz w:val="22"/>
        </w:rPr>
        <w:t>In developed countries, in year 2006, the MMR was 9 per 100,000 live births and the p</w:t>
      </w:r>
      <w:r w:rsidRPr="005F7F2E">
        <w:rPr>
          <w:sz w:val="22"/>
        </w:rPr>
        <w:t>roportion of deliveries attended by skilled health care personnel was 99% (United Nations, 2008). According to the same source, MMR for Latin America &amp; Caribbean, on average, is 130 per 100,000 live births, and 86% of deliveries are attended by skilled health care personnel.</w:t>
      </w:r>
    </w:p>
    <w:p w:rsidR="00353ED4" w:rsidRDefault="00353ED4" w:rsidP="009C6718">
      <w:pPr>
        <w:ind w:left="567"/>
        <w:jc w:val="both"/>
        <w:rPr>
          <w:rStyle w:val="apple-style-span"/>
          <w:sz w:val="22"/>
        </w:rPr>
      </w:pPr>
      <w:r w:rsidRPr="005F7F2E">
        <w:rPr>
          <w:rStyle w:val="apple-style-span"/>
          <w:sz w:val="22"/>
        </w:rPr>
        <w:t xml:space="preserve">Birth attention is highly important to reduce MMR; proper care during delivery has a relevant impact in overall maternal and infant health. Complications during delivery are an important cause of maternal mortality. According to MINSA </w:t>
      </w:r>
      <w:r w:rsidRPr="005F7F2E">
        <w:rPr>
          <w:sz w:val="22"/>
        </w:rPr>
        <w:t>(MEF, 2008)</w:t>
      </w:r>
      <w:r w:rsidRPr="005F7F2E">
        <w:rPr>
          <w:rStyle w:val="apple-style-span"/>
          <w:sz w:val="22"/>
        </w:rPr>
        <w:t xml:space="preserve">, in 2003, hemorrhage was the first cause of maternal death (43%) followed by hypertensive diseases of pregnancy (14%), sepsis (8%) and unsafe abortion (8%); and </w:t>
      </w:r>
      <w:r w:rsidRPr="005F7F2E">
        <w:rPr>
          <w:sz w:val="22"/>
        </w:rPr>
        <w:t>these reasons have not change in the last years. A</w:t>
      </w:r>
      <w:r w:rsidRPr="005F7F2E">
        <w:rPr>
          <w:rStyle w:val="apple-style-span"/>
          <w:sz w:val="22"/>
        </w:rPr>
        <w:t xml:space="preserve">ll these complications have a higher probability of being solved if the delivery takes place in an adequate place with skilled health staff. </w:t>
      </w:r>
    </w:p>
    <w:p w:rsidR="00353ED4" w:rsidRDefault="00353ED4" w:rsidP="009C6718">
      <w:pPr>
        <w:ind w:left="567"/>
        <w:jc w:val="both"/>
        <w:rPr>
          <w:rStyle w:val="apple-style-span"/>
          <w:sz w:val="22"/>
        </w:rPr>
      </w:pPr>
    </w:p>
    <w:p w:rsidR="00353ED4" w:rsidRDefault="00353ED4" w:rsidP="009C6718">
      <w:pPr>
        <w:ind w:left="567"/>
        <w:jc w:val="both"/>
        <w:rPr>
          <w:rStyle w:val="apple-style-span"/>
          <w:sz w:val="22"/>
        </w:rPr>
      </w:pPr>
    </w:p>
    <w:p w:rsidR="00353ED4" w:rsidRDefault="00353ED4" w:rsidP="009C6718">
      <w:pPr>
        <w:ind w:left="567"/>
        <w:jc w:val="both"/>
        <w:rPr>
          <w:rStyle w:val="apple-style-span"/>
          <w:sz w:val="22"/>
        </w:rPr>
      </w:pPr>
    </w:p>
    <w:p w:rsidR="00353ED4" w:rsidRDefault="00353ED4" w:rsidP="009C6718">
      <w:pPr>
        <w:ind w:left="567"/>
        <w:jc w:val="both"/>
        <w:rPr>
          <w:rStyle w:val="apple-style-span"/>
          <w:sz w:val="22"/>
        </w:rPr>
      </w:pPr>
    </w:p>
    <w:p w:rsidR="00353ED4" w:rsidRDefault="00353ED4" w:rsidP="009C6718">
      <w:pPr>
        <w:ind w:left="567"/>
        <w:jc w:val="both"/>
        <w:rPr>
          <w:rStyle w:val="apple-style-span"/>
          <w:sz w:val="22"/>
        </w:rPr>
      </w:pPr>
    </w:p>
    <w:p w:rsidR="00353ED4" w:rsidRDefault="00353ED4" w:rsidP="009C6718">
      <w:pPr>
        <w:ind w:left="567"/>
        <w:jc w:val="both"/>
        <w:rPr>
          <w:rStyle w:val="apple-style-span"/>
          <w:sz w:val="22"/>
        </w:rPr>
      </w:pPr>
    </w:p>
    <w:p w:rsidR="00353ED4" w:rsidRDefault="00353ED4" w:rsidP="00523653">
      <w:pPr>
        <w:pStyle w:val="Epgrafe"/>
        <w:jc w:val="center"/>
        <w:rPr>
          <w:color w:val="auto"/>
          <w:sz w:val="22"/>
        </w:rPr>
      </w:pPr>
      <w:bookmarkStart w:id="19" w:name="_Ref246865317"/>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1</w:t>
      </w:r>
      <w:r w:rsidRPr="00815FA1">
        <w:rPr>
          <w:color w:val="auto"/>
          <w:sz w:val="22"/>
        </w:rPr>
        <w:fldChar w:fldCharType="end"/>
      </w:r>
      <w:bookmarkEnd w:id="19"/>
      <w:r w:rsidRPr="00815FA1">
        <w:rPr>
          <w:color w:val="auto"/>
          <w:sz w:val="22"/>
        </w:rPr>
        <w:t>: Health Indicators</w:t>
      </w:r>
    </w:p>
    <w:p w:rsidR="00353ED4" w:rsidRPr="00815FA1" w:rsidRDefault="00132204" w:rsidP="00CA6001">
      <w:pPr>
        <w:ind w:left="-851"/>
        <w:jc w:val="both"/>
        <w:rPr>
          <w:rStyle w:val="apple-style-span"/>
          <w:rFonts w:cs="Tahoma"/>
        </w:rPr>
      </w:pPr>
      <w:r>
        <w:rPr>
          <w:noProof/>
          <w:lang w:val="es-PE" w:eastAsia="es-PE"/>
        </w:rPr>
        <w:drawing>
          <wp:inline distT="0" distB="0" distL="0" distR="0">
            <wp:extent cx="6572250" cy="2571750"/>
            <wp:effectExtent l="0" t="0" r="0" b="0"/>
            <wp:docPr id="2"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2571750"/>
                    </a:xfrm>
                    <a:prstGeom prst="rect">
                      <a:avLst/>
                    </a:prstGeom>
                    <a:noFill/>
                    <a:ln>
                      <a:noFill/>
                    </a:ln>
                  </pic:spPr>
                </pic:pic>
              </a:graphicData>
            </a:graphic>
          </wp:inline>
        </w:drawing>
      </w:r>
    </w:p>
    <w:p w:rsidR="00353ED4" w:rsidRPr="005F7F2E" w:rsidRDefault="00353ED4" w:rsidP="008A745E">
      <w:pPr>
        <w:ind w:firstLine="708"/>
        <w:jc w:val="both"/>
        <w:rPr>
          <w:rStyle w:val="apple-style-span"/>
          <w:rFonts w:cs="Tahoma"/>
          <w:b/>
          <w:sz w:val="22"/>
        </w:rPr>
      </w:pPr>
      <w:r w:rsidRPr="005F7F2E">
        <w:rPr>
          <w:sz w:val="22"/>
        </w:rPr>
        <w:t>Source: INEI</w:t>
      </w:r>
    </w:p>
    <w:p w:rsidR="00353ED4" w:rsidRPr="005F7F2E" w:rsidRDefault="00353ED4" w:rsidP="009C6718">
      <w:pPr>
        <w:ind w:left="567"/>
        <w:jc w:val="both"/>
        <w:rPr>
          <w:sz w:val="22"/>
        </w:rPr>
      </w:pPr>
      <w:r w:rsidRPr="005F7F2E">
        <w:rPr>
          <w:sz w:val="22"/>
        </w:rPr>
        <w:t xml:space="preserve">Regarding neonatal and child health, and according to studies in Peru, the principal causes of neonatal deaths are the respiratory disorders proper of the neonatal period (in the rural areas the 60% of the neonatal deaths are attributed to asphyxia), the low birth weight, neonatal sepsis, and congenital malformations. The respiratory disorders are related to two factors: the labor and obstetric complications, and the low weight birth and prematurity. </w:t>
      </w:r>
    </w:p>
    <w:p w:rsidR="00353ED4" w:rsidRPr="005F7F2E" w:rsidRDefault="00353ED4" w:rsidP="009C6718">
      <w:pPr>
        <w:ind w:left="567"/>
        <w:jc w:val="both"/>
        <w:rPr>
          <w:rStyle w:val="apple-style-span"/>
          <w:sz w:val="22"/>
        </w:rPr>
      </w:pPr>
      <w:r w:rsidRPr="005F7F2E">
        <w:rPr>
          <w:rStyle w:val="apple-style-span"/>
          <w:sz w:val="22"/>
        </w:rPr>
        <w:t xml:space="preserve">However, as it is common in Latin American countries (OPS-OMS, 2007), national averages hide important differences among regions and socioeconomic sectors. One of the most important differences is among rural and urban population. </w:t>
      </w:r>
      <w:r w:rsidR="00132204">
        <w:fldChar w:fldCharType="begin"/>
      </w:r>
      <w:r w:rsidR="00132204">
        <w:instrText xml:space="preserve"> REF _Ref245702087 \h  \* MERGEFORMAT </w:instrText>
      </w:r>
      <w:r w:rsidR="00132204">
        <w:fldChar w:fldCharType="separate"/>
      </w:r>
      <w:r w:rsidRPr="005F7F2E">
        <w:rPr>
          <w:sz w:val="22"/>
        </w:rPr>
        <w:t>Table 2</w:t>
      </w:r>
      <w:r w:rsidR="00132204">
        <w:fldChar w:fldCharType="end"/>
      </w:r>
      <w:r w:rsidRPr="005F7F2E">
        <w:rPr>
          <w:sz w:val="22"/>
        </w:rPr>
        <w:t xml:space="preserve"> presents health </w:t>
      </w:r>
      <w:r w:rsidRPr="005F7F2E">
        <w:rPr>
          <w:rStyle w:val="apple-style-span"/>
          <w:sz w:val="22"/>
        </w:rPr>
        <w:t xml:space="preserve">indicators by area of residence. </w:t>
      </w:r>
    </w:p>
    <w:p w:rsidR="00353ED4" w:rsidRPr="00815FA1" w:rsidRDefault="00353ED4" w:rsidP="00523653">
      <w:pPr>
        <w:pStyle w:val="Epgrafe"/>
        <w:jc w:val="center"/>
        <w:rPr>
          <w:color w:val="auto"/>
          <w:sz w:val="22"/>
        </w:rPr>
      </w:pPr>
      <w:bookmarkStart w:id="20" w:name="_Ref245702087"/>
      <w:bookmarkStart w:id="21" w:name="_Ref246857142"/>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w:t>
      </w:r>
      <w:r w:rsidRPr="00815FA1">
        <w:rPr>
          <w:color w:val="auto"/>
          <w:sz w:val="22"/>
        </w:rPr>
        <w:fldChar w:fldCharType="end"/>
      </w:r>
      <w:bookmarkEnd w:id="20"/>
      <w:r w:rsidRPr="00815FA1">
        <w:rPr>
          <w:color w:val="auto"/>
          <w:sz w:val="22"/>
        </w:rPr>
        <w:t>: Health indicators by area of residence</w:t>
      </w:r>
      <w:bookmarkEnd w:id="21"/>
    </w:p>
    <w:p w:rsidR="00353ED4" w:rsidRPr="00815FA1" w:rsidRDefault="00132204" w:rsidP="00CA6001">
      <w:pPr>
        <w:ind w:left="-1134"/>
        <w:jc w:val="both"/>
        <w:rPr>
          <w:rStyle w:val="apple-style-span"/>
          <w:rFonts w:cs="Tahoma"/>
          <w:b/>
        </w:rPr>
      </w:pPr>
      <w:r>
        <w:rPr>
          <w:noProof/>
          <w:lang w:val="es-PE" w:eastAsia="es-PE"/>
        </w:rPr>
        <w:drawing>
          <wp:inline distT="0" distB="0" distL="0" distR="0">
            <wp:extent cx="7010400" cy="1924050"/>
            <wp:effectExtent l="0" t="0" r="0" b="0"/>
            <wp:docPr id="3"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0" cy="1924050"/>
                    </a:xfrm>
                    <a:prstGeom prst="rect">
                      <a:avLst/>
                    </a:prstGeom>
                    <a:noFill/>
                    <a:ln>
                      <a:noFill/>
                    </a:ln>
                  </pic:spPr>
                </pic:pic>
              </a:graphicData>
            </a:graphic>
          </wp:inline>
        </w:drawing>
      </w:r>
    </w:p>
    <w:p w:rsidR="00353ED4" w:rsidRPr="005F7F2E" w:rsidRDefault="00353ED4" w:rsidP="008A745E">
      <w:pPr>
        <w:ind w:firstLine="708"/>
        <w:jc w:val="both"/>
        <w:rPr>
          <w:rStyle w:val="apple-style-span"/>
          <w:rFonts w:cs="Tahoma"/>
          <w:b/>
          <w:sz w:val="22"/>
        </w:rPr>
      </w:pPr>
      <w:r w:rsidRPr="005F7F2E">
        <w:rPr>
          <w:sz w:val="22"/>
        </w:rPr>
        <w:t>Source: INEI</w:t>
      </w:r>
    </w:p>
    <w:p w:rsidR="00353ED4" w:rsidRPr="005F7F2E" w:rsidRDefault="00353ED4" w:rsidP="00523653">
      <w:pPr>
        <w:ind w:left="567"/>
        <w:jc w:val="both"/>
        <w:rPr>
          <w:sz w:val="22"/>
        </w:rPr>
      </w:pPr>
      <w:r w:rsidRPr="005F7F2E">
        <w:rPr>
          <w:sz w:val="22"/>
        </w:rPr>
        <w:t xml:space="preserve">Differences are relevant. For instance, institutional delivery rates are quite different: </w:t>
      </w:r>
      <w:r>
        <w:rPr>
          <w:sz w:val="22"/>
        </w:rPr>
        <w:t xml:space="preserve">in 2009, </w:t>
      </w:r>
      <w:r w:rsidRPr="005F7F2E">
        <w:rPr>
          <w:sz w:val="22"/>
        </w:rPr>
        <w:t>while 93% of deliveries are institutional in urban areas, only 55% are institutional in rural areas. Women in urban areas attend more prenatal checkups</w:t>
      </w:r>
      <w:r>
        <w:rPr>
          <w:sz w:val="22"/>
        </w:rPr>
        <w:t xml:space="preserve">, receive more assistance by health staff during deliveries, and </w:t>
      </w:r>
      <w:r w:rsidRPr="005F7F2E">
        <w:rPr>
          <w:sz w:val="22"/>
        </w:rPr>
        <w:t xml:space="preserve"> use more birth control methods as well as. </w:t>
      </w:r>
    </w:p>
    <w:p w:rsidR="00353ED4" w:rsidRPr="005F7F2E" w:rsidRDefault="00353ED4" w:rsidP="00DC2BA9">
      <w:pPr>
        <w:ind w:left="567"/>
        <w:jc w:val="both"/>
        <w:rPr>
          <w:sz w:val="22"/>
        </w:rPr>
      </w:pPr>
      <w:r w:rsidRPr="005F7F2E">
        <w:rPr>
          <w:sz w:val="22"/>
        </w:rPr>
        <w:t>Peruvian Government has prioritize institutional birth when considered reducing maternal mortality as the first National Sanitary Objective in its National Coordinated Health Plan (2007-2020), with the specific goals of reducing teenage pregnancy; complications during pregnancy, delivery and post delivery; and broadening access to different birth control methods. More specifically, the indicators for this goal are</w:t>
      </w:r>
      <w:r w:rsidRPr="005F7F2E">
        <w:rPr>
          <w:sz w:val="22"/>
          <w:vertAlign w:val="superscript"/>
        </w:rPr>
        <w:footnoteReference w:id="3"/>
      </w:r>
      <w:r w:rsidRPr="005F7F2E">
        <w:rPr>
          <w:sz w:val="22"/>
        </w:rPr>
        <w:t>:</w:t>
      </w:r>
    </w:p>
    <w:p w:rsidR="00353ED4" w:rsidRPr="005F7F2E" w:rsidRDefault="00353ED4" w:rsidP="008A745E">
      <w:pPr>
        <w:pStyle w:val="Prrafodelista2"/>
        <w:numPr>
          <w:ilvl w:val="0"/>
          <w:numId w:val="16"/>
        </w:numPr>
        <w:jc w:val="both"/>
        <w:rPr>
          <w:rStyle w:val="apple-style-span"/>
          <w:sz w:val="22"/>
        </w:rPr>
      </w:pPr>
      <w:r w:rsidRPr="005F7F2E">
        <w:rPr>
          <w:rStyle w:val="apple-style-span"/>
          <w:sz w:val="22"/>
        </w:rPr>
        <w:t>To reduce MMR from 185 to 120 per 100,000 live births by 2011.</w:t>
      </w:r>
    </w:p>
    <w:p w:rsidR="00353ED4" w:rsidRPr="005F7F2E" w:rsidRDefault="00353ED4" w:rsidP="008A745E">
      <w:pPr>
        <w:pStyle w:val="Prrafodelista2"/>
        <w:numPr>
          <w:ilvl w:val="0"/>
          <w:numId w:val="16"/>
        </w:numPr>
        <w:jc w:val="both"/>
        <w:rPr>
          <w:rStyle w:val="apple-style-span"/>
          <w:sz w:val="22"/>
        </w:rPr>
      </w:pPr>
      <w:r w:rsidRPr="005F7F2E">
        <w:rPr>
          <w:rStyle w:val="apple-style-span"/>
          <w:sz w:val="22"/>
        </w:rPr>
        <w:t>To reduce MMR to 66 per 100,000 live births by 2020.</w:t>
      </w:r>
    </w:p>
    <w:p w:rsidR="00353ED4" w:rsidRPr="005F7F2E" w:rsidRDefault="00353ED4" w:rsidP="008A745E">
      <w:pPr>
        <w:pStyle w:val="Prrafodelista2"/>
        <w:numPr>
          <w:ilvl w:val="0"/>
          <w:numId w:val="16"/>
        </w:numPr>
        <w:jc w:val="both"/>
        <w:rPr>
          <w:b/>
          <w:sz w:val="22"/>
        </w:rPr>
      </w:pPr>
      <w:r w:rsidRPr="005F7F2E">
        <w:rPr>
          <w:rStyle w:val="apple-style-span"/>
          <w:sz w:val="22"/>
        </w:rPr>
        <w:t>To increase the rate of institutional delivery coverage in rural areas from 42.9% to 70% by 2011, with quality and within the cultural context of the population.</w:t>
      </w:r>
    </w:p>
    <w:p w:rsidR="00353ED4" w:rsidRPr="005F7F2E" w:rsidRDefault="00353ED4" w:rsidP="00DC2BA9">
      <w:pPr>
        <w:ind w:left="567"/>
        <w:jc w:val="both"/>
        <w:rPr>
          <w:sz w:val="22"/>
        </w:rPr>
      </w:pPr>
      <w:r w:rsidRPr="005F7F2E">
        <w:rPr>
          <w:sz w:val="22"/>
        </w:rPr>
        <w:t>Given the importance of maternal and neonatal health for Peruvian society, we analyze the main budget program, a performance based budget for maternal and neonatal health (see sub-section 4) as part of the program budgeting analysis of the health sector.</w:t>
      </w:r>
    </w:p>
    <w:p w:rsidR="00353ED4" w:rsidRPr="005F7F2E" w:rsidRDefault="00353ED4">
      <w:pPr>
        <w:rPr>
          <w:rStyle w:val="apple-style-span"/>
          <w:b/>
          <w:i/>
          <w:iCs/>
          <w:smallCaps/>
          <w:spacing w:val="5"/>
          <w:sz w:val="28"/>
          <w:szCs w:val="26"/>
        </w:rPr>
      </w:pPr>
    </w:p>
    <w:p w:rsidR="00353ED4" w:rsidRPr="00F37291" w:rsidRDefault="00353ED4" w:rsidP="009C6718">
      <w:pPr>
        <w:pStyle w:val="Ttulo3"/>
        <w:numPr>
          <w:ilvl w:val="0"/>
          <w:numId w:val="21"/>
        </w:numPr>
        <w:rPr>
          <w:rStyle w:val="apple-style-span"/>
        </w:rPr>
      </w:pPr>
      <w:bookmarkStart w:id="22" w:name="_Toc254270027"/>
      <w:r w:rsidRPr="00F37291">
        <w:rPr>
          <w:rStyle w:val="apple-style-span"/>
        </w:rPr>
        <w:t>Usage of health services</w:t>
      </w:r>
      <w:bookmarkEnd w:id="22"/>
      <w:r w:rsidRPr="00F37291">
        <w:rPr>
          <w:rStyle w:val="apple-style-span"/>
        </w:rPr>
        <w:t xml:space="preserve"> </w:t>
      </w:r>
    </w:p>
    <w:p w:rsidR="00353ED4" w:rsidRPr="005F7F2E" w:rsidRDefault="00353ED4" w:rsidP="008004A9">
      <w:pPr>
        <w:ind w:left="567"/>
        <w:jc w:val="both"/>
        <w:rPr>
          <w:sz w:val="22"/>
        </w:rPr>
      </w:pPr>
      <w:bookmarkStart w:id="23" w:name="_Ref245703893"/>
      <w:r w:rsidRPr="005F7F2E">
        <w:rPr>
          <w:sz w:val="22"/>
        </w:rPr>
        <w:t xml:space="preserve">The size of the public sector in Peru is larger than the private </w:t>
      </w:r>
      <w:r>
        <w:rPr>
          <w:sz w:val="22"/>
        </w:rPr>
        <w:t xml:space="preserve">one, </w:t>
      </w:r>
      <w:r w:rsidRPr="005F7F2E">
        <w:rPr>
          <w:sz w:val="22"/>
        </w:rPr>
        <w:t>not only considering the participation in the production structure, but also by the available infrastructure resources (Table 3), with a high weight of MINSA as a supplier. According to ENAHO 2008, of the total of individuals that had health consults, 40% went to MINSA’s establishments, while 11% and 15% went to Essalud and private practices</w:t>
      </w:r>
      <w:r>
        <w:rPr>
          <w:sz w:val="22"/>
        </w:rPr>
        <w:t>,</w:t>
      </w:r>
      <w:r w:rsidRPr="005F7F2E">
        <w:rPr>
          <w:sz w:val="22"/>
        </w:rPr>
        <w:t xml:space="preserve"> respectively. The situation in the infrastructure stock is similar, where MINSA has 86% of health posts and 67% of beds. For hospitals and clinics it’s the second provider</w:t>
      </w:r>
      <w:r w:rsidRPr="005F7F2E">
        <w:rPr>
          <w:sz w:val="22"/>
          <w:vertAlign w:val="superscript"/>
        </w:rPr>
        <w:footnoteReference w:id="4"/>
      </w:r>
      <w:r w:rsidRPr="005F7F2E">
        <w:rPr>
          <w:sz w:val="22"/>
        </w:rPr>
        <w:t xml:space="preserve">. </w:t>
      </w:r>
    </w:p>
    <w:p w:rsidR="00353ED4" w:rsidRPr="00815FA1" w:rsidRDefault="00353ED4" w:rsidP="003C3410">
      <w:pPr>
        <w:jc w:val="center"/>
        <w:rPr>
          <w:rStyle w:val="apple-style-span"/>
          <w:rFonts w:cs="Tahoma"/>
          <w:b/>
          <w:sz w:val="22"/>
        </w:rPr>
      </w:pPr>
      <w:bookmarkStart w:id="24" w:name="_Ref247510119"/>
      <w:bookmarkStart w:id="25" w:name="_Ref247510112"/>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3</w:t>
      </w:r>
      <w:r w:rsidRPr="00815FA1">
        <w:rPr>
          <w:rStyle w:val="apple-style-span"/>
          <w:rFonts w:cs="Tahoma"/>
          <w:b/>
          <w:sz w:val="22"/>
        </w:rPr>
        <w:fldChar w:fldCharType="end"/>
      </w:r>
      <w:bookmarkEnd w:id="24"/>
      <w:r w:rsidRPr="00815FA1">
        <w:rPr>
          <w:rStyle w:val="apple-style-span"/>
          <w:rFonts w:cs="Tahoma"/>
          <w:b/>
          <w:sz w:val="22"/>
        </w:rPr>
        <w:t>: Relative importance of public and private suppliers (according to participation in production and infrastructure)</w:t>
      </w:r>
      <w:bookmarkEnd w:id="25"/>
    </w:p>
    <w:tbl>
      <w:tblPr>
        <w:tblW w:w="0" w:type="auto"/>
        <w:jc w:val="center"/>
        <w:tblCellMar>
          <w:left w:w="70" w:type="dxa"/>
          <w:right w:w="70" w:type="dxa"/>
        </w:tblCellMar>
        <w:tblLook w:val="00A0" w:firstRow="1" w:lastRow="0" w:firstColumn="1" w:lastColumn="0" w:noHBand="0" w:noVBand="0"/>
      </w:tblPr>
      <w:tblGrid>
        <w:gridCol w:w="1223"/>
        <w:gridCol w:w="2347"/>
        <w:gridCol w:w="917"/>
        <w:gridCol w:w="2192"/>
        <w:gridCol w:w="911"/>
        <w:gridCol w:w="1388"/>
      </w:tblGrid>
      <w:tr w:rsidR="00353ED4" w:rsidRPr="00815FA1">
        <w:trPr>
          <w:trHeight w:val="20"/>
          <w:jc w:val="center"/>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8DB4E3"/>
            <w:vAlign w:val="center"/>
          </w:tcPr>
          <w:p w:rsidR="00353ED4" w:rsidRPr="00815FA1" w:rsidRDefault="00353ED4" w:rsidP="003C3410">
            <w:pPr>
              <w:spacing w:before="0" w:after="0" w:line="240" w:lineRule="auto"/>
              <w:rPr>
                <w:b/>
                <w:sz w:val="22"/>
                <w:szCs w:val="22"/>
                <w:lang w:eastAsia="zh-CN"/>
              </w:rPr>
            </w:pPr>
            <w:r w:rsidRPr="00815FA1">
              <w:rPr>
                <w:b/>
                <w:sz w:val="22"/>
                <w:szCs w:val="22"/>
                <w:lang w:eastAsia="zh-CN"/>
              </w:rPr>
              <w:t>Provider</w:t>
            </w:r>
          </w:p>
        </w:tc>
        <w:tc>
          <w:tcPr>
            <w:tcW w:w="0" w:type="auto"/>
            <w:tcBorders>
              <w:top w:val="single" w:sz="8" w:space="0" w:color="auto"/>
              <w:left w:val="nil"/>
              <w:bottom w:val="single" w:sz="8" w:space="0" w:color="auto"/>
              <w:right w:val="single" w:sz="8" w:space="0" w:color="auto"/>
            </w:tcBorders>
            <w:shd w:val="clear" w:color="000000" w:fill="8DB4E3"/>
            <w:noWrap/>
            <w:vAlign w:val="center"/>
          </w:tcPr>
          <w:p w:rsidR="00353ED4" w:rsidRPr="00815FA1" w:rsidRDefault="00353ED4" w:rsidP="003C3410">
            <w:pPr>
              <w:spacing w:before="0" w:after="0" w:line="240" w:lineRule="auto"/>
              <w:jc w:val="center"/>
              <w:rPr>
                <w:b/>
                <w:sz w:val="22"/>
                <w:szCs w:val="22"/>
                <w:lang w:eastAsia="zh-CN"/>
              </w:rPr>
            </w:pPr>
            <w:r w:rsidRPr="00815FA1">
              <w:rPr>
                <w:b/>
                <w:sz w:val="22"/>
                <w:szCs w:val="22"/>
                <w:lang w:eastAsia="zh-CN"/>
              </w:rPr>
              <w:t>2008</w:t>
            </w:r>
          </w:p>
        </w:tc>
        <w:tc>
          <w:tcPr>
            <w:tcW w:w="0" w:type="auto"/>
            <w:gridSpan w:val="3"/>
            <w:tcBorders>
              <w:top w:val="single" w:sz="8" w:space="0" w:color="auto"/>
              <w:left w:val="nil"/>
              <w:bottom w:val="single" w:sz="8" w:space="0" w:color="auto"/>
              <w:right w:val="single" w:sz="8" w:space="0" w:color="000000"/>
            </w:tcBorders>
            <w:shd w:val="clear" w:color="000000" w:fill="8DB4E3"/>
            <w:noWrap/>
            <w:vAlign w:val="center"/>
          </w:tcPr>
          <w:p w:rsidR="00353ED4" w:rsidRPr="00815FA1" w:rsidRDefault="00353ED4" w:rsidP="003C3410">
            <w:pPr>
              <w:spacing w:before="0" w:after="0" w:line="240" w:lineRule="auto"/>
              <w:jc w:val="center"/>
              <w:rPr>
                <w:b/>
                <w:sz w:val="22"/>
                <w:szCs w:val="22"/>
                <w:lang w:eastAsia="zh-CN"/>
              </w:rPr>
            </w:pPr>
            <w:r w:rsidRPr="00815FA1">
              <w:rPr>
                <w:b/>
                <w:sz w:val="22"/>
                <w:szCs w:val="22"/>
                <w:lang w:eastAsia="zh-CN"/>
              </w:rPr>
              <w:t>1996</w:t>
            </w:r>
          </w:p>
        </w:tc>
      </w:tr>
      <w:tr w:rsidR="00353ED4" w:rsidRPr="00815FA1">
        <w:trPr>
          <w:trHeight w:val="269"/>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353ED4" w:rsidRPr="00815FA1" w:rsidRDefault="00353ED4" w:rsidP="003C3410">
            <w:pPr>
              <w:spacing w:before="0" w:after="0" w:line="240" w:lineRule="auto"/>
              <w:rPr>
                <w:b/>
                <w:sz w:val="22"/>
                <w:szCs w:val="22"/>
                <w:lang w:eastAsia="zh-CN"/>
              </w:rPr>
            </w:pPr>
          </w:p>
        </w:tc>
        <w:tc>
          <w:tcPr>
            <w:tcW w:w="0" w:type="auto"/>
            <w:vMerge w:val="restart"/>
            <w:tcBorders>
              <w:top w:val="nil"/>
              <w:left w:val="single" w:sz="8" w:space="0" w:color="000000"/>
              <w:bottom w:val="single" w:sz="8" w:space="0" w:color="000000"/>
              <w:right w:val="single" w:sz="8" w:space="0" w:color="auto"/>
            </w:tcBorders>
            <w:shd w:val="clear" w:color="000000" w:fill="8DB4E3"/>
            <w:vAlign w:val="center"/>
          </w:tcPr>
          <w:p w:rsidR="00353ED4" w:rsidRPr="00815FA1" w:rsidRDefault="00353ED4" w:rsidP="003C3410">
            <w:pPr>
              <w:spacing w:before="0" w:after="0" w:line="240" w:lineRule="auto"/>
              <w:rPr>
                <w:b/>
                <w:sz w:val="22"/>
                <w:szCs w:val="22"/>
                <w:lang w:eastAsia="zh-CN"/>
              </w:rPr>
            </w:pPr>
            <w:r w:rsidRPr="00815FA1">
              <w:rPr>
                <w:b/>
                <w:sz w:val="22"/>
                <w:szCs w:val="22"/>
                <w:lang w:eastAsia="zh-CN"/>
              </w:rPr>
              <w:t>Consults</w:t>
            </w:r>
          </w:p>
        </w:tc>
        <w:tc>
          <w:tcPr>
            <w:tcW w:w="0" w:type="auto"/>
            <w:vMerge w:val="restart"/>
            <w:tcBorders>
              <w:top w:val="nil"/>
              <w:left w:val="single" w:sz="8" w:space="0" w:color="auto"/>
              <w:bottom w:val="single" w:sz="8" w:space="0" w:color="000000"/>
              <w:right w:val="single" w:sz="8" w:space="0" w:color="auto"/>
            </w:tcBorders>
            <w:shd w:val="clear" w:color="000000" w:fill="8DB4E3"/>
            <w:vAlign w:val="center"/>
          </w:tcPr>
          <w:p w:rsidR="00353ED4" w:rsidRPr="00815FA1" w:rsidRDefault="00353ED4" w:rsidP="003C3410">
            <w:pPr>
              <w:spacing w:before="0" w:after="0" w:line="240" w:lineRule="auto"/>
              <w:rPr>
                <w:b/>
                <w:sz w:val="22"/>
                <w:szCs w:val="22"/>
                <w:lang w:eastAsia="zh-CN"/>
              </w:rPr>
            </w:pPr>
            <w:r w:rsidRPr="00815FA1">
              <w:rPr>
                <w:b/>
                <w:sz w:val="22"/>
                <w:szCs w:val="22"/>
                <w:lang w:eastAsia="zh-CN"/>
              </w:rPr>
              <w:t>Posts-Centers and Private practices</w:t>
            </w:r>
          </w:p>
        </w:tc>
        <w:tc>
          <w:tcPr>
            <w:tcW w:w="0" w:type="auto"/>
            <w:vMerge w:val="restart"/>
            <w:tcBorders>
              <w:top w:val="nil"/>
              <w:left w:val="single" w:sz="8" w:space="0" w:color="auto"/>
              <w:bottom w:val="single" w:sz="8" w:space="0" w:color="000000"/>
              <w:right w:val="single" w:sz="8" w:space="0" w:color="auto"/>
            </w:tcBorders>
            <w:shd w:val="clear" w:color="000000" w:fill="8DB4E3"/>
            <w:vAlign w:val="center"/>
          </w:tcPr>
          <w:p w:rsidR="00353ED4" w:rsidRPr="00815FA1" w:rsidRDefault="00353ED4" w:rsidP="003C3410">
            <w:pPr>
              <w:spacing w:before="0" w:after="0" w:line="240" w:lineRule="auto"/>
              <w:rPr>
                <w:b/>
                <w:sz w:val="22"/>
                <w:szCs w:val="22"/>
                <w:lang w:eastAsia="zh-CN"/>
              </w:rPr>
            </w:pPr>
            <w:r w:rsidRPr="00815FA1">
              <w:rPr>
                <w:b/>
                <w:sz w:val="22"/>
                <w:szCs w:val="22"/>
                <w:lang w:eastAsia="zh-CN"/>
              </w:rPr>
              <w:t>Beds</w:t>
            </w:r>
          </w:p>
        </w:tc>
        <w:tc>
          <w:tcPr>
            <w:tcW w:w="0" w:type="auto"/>
            <w:vMerge w:val="restart"/>
            <w:tcBorders>
              <w:top w:val="nil"/>
              <w:left w:val="single" w:sz="8" w:space="0" w:color="auto"/>
              <w:bottom w:val="single" w:sz="8" w:space="0" w:color="000000"/>
              <w:right w:val="single" w:sz="8" w:space="0" w:color="auto"/>
            </w:tcBorders>
            <w:shd w:val="clear" w:color="000000" w:fill="8DB4E3"/>
            <w:vAlign w:val="center"/>
          </w:tcPr>
          <w:p w:rsidR="00353ED4" w:rsidRPr="00815FA1" w:rsidRDefault="00353ED4" w:rsidP="003C3410">
            <w:pPr>
              <w:spacing w:before="0" w:after="0" w:line="240" w:lineRule="auto"/>
              <w:rPr>
                <w:b/>
                <w:sz w:val="22"/>
                <w:szCs w:val="22"/>
                <w:lang w:eastAsia="zh-CN"/>
              </w:rPr>
            </w:pPr>
            <w:r w:rsidRPr="00815FA1">
              <w:rPr>
                <w:b/>
                <w:sz w:val="22"/>
                <w:szCs w:val="22"/>
                <w:lang w:eastAsia="zh-CN"/>
              </w:rPr>
              <w:t>Hospitals/ clinics</w:t>
            </w:r>
          </w:p>
        </w:tc>
      </w:tr>
      <w:tr w:rsidR="00353ED4" w:rsidRPr="00815FA1">
        <w:trPr>
          <w:trHeight w:val="713"/>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000000"/>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r>
      <w:tr w:rsidR="00353ED4" w:rsidRPr="00815FA1">
        <w:trPr>
          <w:cantSplit/>
          <w:trHeight w:val="269"/>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000000"/>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c>
          <w:tcPr>
            <w:tcW w:w="0" w:type="auto"/>
            <w:vMerge/>
            <w:tcBorders>
              <w:top w:val="nil"/>
              <w:left w:val="single" w:sz="8" w:space="0" w:color="auto"/>
              <w:bottom w:val="single" w:sz="8" w:space="0" w:color="000000"/>
              <w:right w:val="single" w:sz="8" w:space="0" w:color="auto"/>
            </w:tcBorders>
            <w:vAlign w:val="center"/>
          </w:tcPr>
          <w:p w:rsidR="00353ED4" w:rsidRPr="00815FA1" w:rsidRDefault="00353ED4" w:rsidP="003C3410">
            <w:pPr>
              <w:spacing w:before="0" w:after="0" w:line="240" w:lineRule="auto"/>
              <w:rPr>
                <w:sz w:val="22"/>
                <w:szCs w:val="22"/>
                <w:lang w:eastAsia="zh-CN"/>
              </w:rPr>
            </w:pPr>
          </w:p>
        </w:tc>
      </w:tr>
      <w:tr w:rsidR="00353ED4" w:rsidRPr="00815FA1">
        <w:trPr>
          <w:trHeight w:val="315"/>
          <w:jc w:val="center"/>
        </w:trPr>
        <w:tc>
          <w:tcPr>
            <w:tcW w:w="0" w:type="auto"/>
            <w:tcBorders>
              <w:top w:val="nil"/>
              <w:left w:val="single" w:sz="8" w:space="0" w:color="auto"/>
              <w:bottom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Institutional</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67</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100.00%</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100.00%</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100.00%</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MINSA</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40</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86</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67</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30.1</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EsSalud</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11</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3</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14</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15</w:t>
            </w:r>
          </w:p>
        </w:tc>
      </w:tr>
      <w:tr w:rsidR="00353ED4" w:rsidRPr="00815FA1">
        <w:trPr>
          <w:trHeight w:val="60"/>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Armed and Police Forces</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2</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6</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4</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Private</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15</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9</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13</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50.9</w:t>
            </w:r>
          </w:p>
        </w:tc>
      </w:tr>
      <w:tr w:rsidR="00353ED4" w:rsidRPr="00815FA1">
        <w:trPr>
          <w:trHeight w:val="315"/>
          <w:jc w:val="center"/>
        </w:trPr>
        <w:tc>
          <w:tcPr>
            <w:tcW w:w="0" w:type="auto"/>
            <w:gridSpan w:val="2"/>
            <w:tcBorders>
              <w:top w:val="single" w:sz="8" w:space="0" w:color="auto"/>
              <w:left w:val="single" w:sz="8" w:space="0" w:color="auto"/>
              <w:bottom w:val="single" w:sz="8" w:space="0" w:color="auto"/>
              <w:right w:val="single" w:sz="8" w:space="0" w:color="000000"/>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Non institutional</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34</w:t>
            </w: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Pharmacy</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31</w:t>
            </w: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Other</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3</w:t>
            </w: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nil"/>
            </w:tcBorders>
            <w:noWrap/>
            <w:vAlign w:val="bottom"/>
          </w:tcPr>
          <w:p w:rsidR="00353ED4" w:rsidRPr="00815FA1" w:rsidRDefault="00353ED4" w:rsidP="003C3410">
            <w:pPr>
              <w:spacing w:before="0" w:after="0" w:line="240" w:lineRule="auto"/>
              <w:rPr>
                <w:sz w:val="22"/>
                <w:szCs w:val="22"/>
                <w:lang w:eastAsia="zh-CN"/>
              </w:rPr>
            </w:pPr>
          </w:p>
        </w:tc>
        <w:tc>
          <w:tcPr>
            <w:tcW w:w="0" w:type="auto"/>
            <w:tcBorders>
              <w:top w:val="nil"/>
              <w:left w:val="nil"/>
              <w:bottom w:val="nil"/>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r>
      <w:tr w:rsidR="00353ED4" w:rsidRPr="00815FA1">
        <w:trPr>
          <w:trHeight w:val="315"/>
          <w:jc w:val="center"/>
        </w:trPr>
        <w:tc>
          <w:tcPr>
            <w:tcW w:w="0" w:type="auto"/>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100.00%</w:t>
            </w:r>
          </w:p>
        </w:tc>
        <w:tc>
          <w:tcPr>
            <w:tcW w:w="0" w:type="auto"/>
            <w:tcBorders>
              <w:top w:val="nil"/>
              <w:left w:val="nil"/>
              <w:bottom w:val="single" w:sz="8" w:space="0" w:color="auto"/>
              <w:right w:val="nil"/>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nil"/>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c>
          <w:tcPr>
            <w:tcW w:w="0" w:type="auto"/>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rPr>
                <w:sz w:val="22"/>
                <w:szCs w:val="22"/>
                <w:lang w:eastAsia="zh-CN"/>
              </w:rPr>
            </w:pPr>
            <w:r w:rsidRPr="00815FA1">
              <w:rPr>
                <w:sz w:val="22"/>
                <w:szCs w:val="22"/>
                <w:lang w:eastAsia="zh-CN"/>
              </w:rPr>
              <w:t> </w:t>
            </w:r>
          </w:p>
        </w:tc>
      </w:tr>
    </w:tbl>
    <w:p w:rsidR="00353ED4" w:rsidRDefault="00353ED4" w:rsidP="003C3410">
      <w:pPr>
        <w:rPr>
          <w:sz w:val="22"/>
          <w:szCs w:val="22"/>
        </w:rPr>
      </w:pPr>
      <w:r w:rsidRPr="00815FA1">
        <w:rPr>
          <w:sz w:val="22"/>
          <w:szCs w:val="22"/>
        </w:rPr>
        <w:t>Sources: ENAHO 2008 and Infrastructure Census-MINSA 1996</w:t>
      </w:r>
    </w:p>
    <w:p w:rsidR="00353ED4" w:rsidRPr="00815FA1" w:rsidRDefault="00353ED4" w:rsidP="003C3410">
      <w:pPr>
        <w:rPr>
          <w:sz w:val="22"/>
          <w:szCs w:val="22"/>
        </w:rPr>
      </w:pPr>
    </w:p>
    <w:p w:rsidR="00353ED4" w:rsidRPr="005F7F2E" w:rsidRDefault="00353ED4" w:rsidP="008004A9">
      <w:pPr>
        <w:ind w:left="567"/>
        <w:jc w:val="both"/>
        <w:rPr>
          <w:sz w:val="22"/>
        </w:rPr>
      </w:pPr>
      <w:r w:rsidRPr="005F7F2E">
        <w:rPr>
          <w:sz w:val="22"/>
        </w:rPr>
        <w:t xml:space="preserve">In terms of usage of medical services, in year 2008, of the 100% of population that were reported ill, 64% considered a medical consult as necessarily, </w:t>
      </w:r>
      <w:r>
        <w:rPr>
          <w:sz w:val="22"/>
        </w:rPr>
        <w:t xml:space="preserve">and </w:t>
      </w:r>
      <w:r w:rsidRPr="005F7F2E">
        <w:rPr>
          <w:sz w:val="22"/>
        </w:rPr>
        <w:t>just 32% managed to accomplish an institutional appointment. Even though this figure had improved between 1985 and 2000, since then the trend has been decreasing</w:t>
      </w:r>
      <w:r>
        <w:rPr>
          <w:sz w:val="22"/>
        </w:rPr>
        <w:t xml:space="preserve"> (see Table 4)</w:t>
      </w:r>
      <w:r w:rsidRPr="005F7F2E">
        <w:rPr>
          <w:sz w:val="22"/>
        </w:rPr>
        <w:t>.  16% of the population was limited to a non-institutional consult and the rest (17%) didn’t make any consult at all. Considering the population volume that received medical attention, and taking as 100% the institutional attention, MINSA occupies the first place of attention (60%), while EsSalud and the private providers attend 17% and 23%, respectively. The non institutional consult, mainly pharmacies and drugstores, is more important than the consult to private providers.</w:t>
      </w:r>
    </w:p>
    <w:p w:rsidR="00353ED4" w:rsidRPr="00815FA1" w:rsidRDefault="00353ED4" w:rsidP="00523653">
      <w:pPr>
        <w:jc w:val="center"/>
        <w:rPr>
          <w:rStyle w:val="apple-style-span"/>
          <w:rFonts w:cs="Tahoma"/>
          <w:b/>
          <w:sz w:val="22"/>
        </w:rPr>
      </w:pPr>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4</w:t>
      </w:r>
      <w:r w:rsidRPr="00815FA1">
        <w:rPr>
          <w:rStyle w:val="apple-style-span"/>
          <w:rFonts w:cs="Tahoma"/>
          <w:b/>
          <w:sz w:val="22"/>
        </w:rPr>
        <w:fldChar w:fldCharType="end"/>
      </w:r>
      <w:r w:rsidRPr="00815FA1">
        <w:rPr>
          <w:rStyle w:val="apple-style-span"/>
          <w:rFonts w:cs="Tahoma"/>
          <w:b/>
          <w:sz w:val="22"/>
        </w:rPr>
        <w:t>: Trends in usage of health services</w:t>
      </w:r>
      <w:r>
        <w:rPr>
          <w:rStyle w:val="apple-style-span"/>
          <w:rFonts w:cs="Tahoma"/>
          <w:b/>
          <w:sz w:val="22"/>
        </w:rPr>
        <w:t xml:space="preserve"> </w:t>
      </w:r>
      <w:r w:rsidRPr="00815FA1">
        <w:rPr>
          <w:rStyle w:val="apple-style-span"/>
          <w:rFonts w:cs="Tahoma"/>
          <w:b/>
          <w:sz w:val="22"/>
        </w:rPr>
        <w:t>(of the 100% of people that reported illness)</w:t>
      </w:r>
    </w:p>
    <w:tbl>
      <w:tblPr>
        <w:tblW w:w="9142" w:type="dxa"/>
        <w:jc w:val="center"/>
        <w:tblCellMar>
          <w:left w:w="70" w:type="dxa"/>
          <w:right w:w="70" w:type="dxa"/>
        </w:tblCellMar>
        <w:tblLook w:val="00A0" w:firstRow="1" w:lastRow="0" w:firstColumn="1" w:lastColumn="0" w:noHBand="0" w:noVBand="0"/>
      </w:tblPr>
      <w:tblGrid>
        <w:gridCol w:w="1660"/>
        <w:gridCol w:w="1147"/>
        <w:gridCol w:w="905"/>
        <w:gridCol w:w="905"/>
        <w:gridCol w:w="905"/>
        <w:gridCol w:w="905"/>
        <w:gridCol w:w="905"/>
        <w:gridCol w:w="905"/>
        <w:gridCol w:w="905"/>
      </w:tblGrid>
      <w:tr w:rsidR="00353ED4" w:rsidRPr="00815FA1">
        <w:trPr>
          <w:trHeight w:val="317"/>
          <w:jc w:val="center"/>
        </w:trPr>
        <w:tc>
          <w:tcPr>
            <w:tcW w:w="1660" w:type="dxa"/>
            <w:tcBorders>
              <w:top w:val="single" w:sz="8" w:space="0" w:color="auto"/>
              <w:left w:val="single" w:sz="8" w:space="0" w:color="auto"/>
              <w:bottom w:val="single" w:sz="8" w:space="0" w:color="auto"/>
              <w:right w:val="nil"/>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 </w:t>
            </w:r>
          </w:p>
        </w:tc>
        <w:tc>
          <w:tcPr>
            <w:tcW w:w="1147" w:type="dxa"/>
            <w:tcBorders>
              <w:top w:val="single" w:sz="8" w:space="0" w:color="auto"/>
              <w:left w:val="single" w:sz="8" w:space="0" w:color="auto"/>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1985</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1994</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1997</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2000</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2003</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2005</w:t>
            </w:r>
          </w:p>
        </w:tc>
        <w:tc>
          <w:tcPr>
            <w:tcW w:w="905"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2006</w:t>
            </w:r>
          </w:p>
        </w:tc>
        <w:tc>
          <w:tcPr>
            <w:tcW w:w="905" w:type="dxa"/>
            <w:tcBorders>
              <w:top w:val="single" w:sz="8" w:space="0" w:color="auto"/>
              <w:left w:val="nil"/>
              <w:bottom w:val="single" w:sz="8" w:space="0" w:color="auto"/>
              <w:right w:val="single" w:sz="8"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2008</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Consulted</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40.3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40.8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54</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55.9</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46.6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36.3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40.6</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47.5</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Institutional</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30.7</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31.5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43.5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47.5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36.3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29.3</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31.7</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MINSA</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19.3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15.8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29.2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22.6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17.1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17.1</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18.8</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Essalud</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9.5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5.9</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5.7</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5.3</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FFAA</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0.9</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0.5</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0.4</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Private</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11.4</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7.8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6.1</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7.2</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Non Institutional</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9.6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9.3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10.5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8.4</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9.6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7.7</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11.3</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15.8</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Pharmacy</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4.4</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7.6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10.2</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14.5</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Other</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2.9</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Didn't consult</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59.7</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59.2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44.1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54.1</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63.7</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59.4</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52.5</w:t>
            </w:r>
          </w:p>
        </w:tc>
      </w:tr>
      <w:tr w:rsidR="00353ED4" w:rsidRPr="00815FA1">
        <w:trPr>
          <w:trHeight w:val="302"/>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Couldn't consult</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19.5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25.6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40.3</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39.6</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25.1</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16.8</w:t>
            </w:r>
          </w:p>
        </w:tc>
      </w:tr>
      <w:tr w:rsidR="00353ED4" w:rsidRPr="00815FA1">
        <w:trPr>
          <w:trHeight w:val="317"/>
          <w:jc w:val="center"/>
        </w:trPr>
        <w:tc>
          <w:tcPr>
            <w:tcW w:w="1660"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It wasn't nece</w:t>
            </w:r>
            <w:r>
              <w:rPr>
                <w:color w:val="000000"/>
                <w:sz w:val="22"/>
                <w:szCs w:val="22"/>
                <w:u w:val="single"/>
                <w:lang w:eastAsia="zh-CN"/>
              </w:rPr>
              <w:t>s</w:t>
            </w:r>
            <w:r w:rsidRPr="00815FA1">
              <w:rPr>
                <w:color w:val="000000"/>
                <w:sz w:val="22"/>
                <w:szCs w:val="22"/>
                <w:u w:val="single"/>
                <w:lang w:eastAsia="zh-CN"/>
              </w:rPr>
              <w:t>sary</w:t>
            </w:r>
          </w:p>
        </w:tc>
        <w:tc>
          <w:tcPr>
            <w:tcW w:w="1147"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26.5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18.5</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13.8</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24.2</w:t>
            </w:r>
          </w:p>
        </w:tc>
        <w:tc>
          <w:tcPr>
            <w:tcW w:w="905"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34.4</w:t>
            </w:r>
          </w:p>
        </w:tc>
        <w:tc>
          <w:tcPr>
            <w:tcW w:w="905"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u w:val="single"/>
                <w:lang w:eastAsia="zh-CN"/>
              </w:rPr>
            </w:pPr>
            <w:r w:rsidRPr="00815FA1">
              <w:rPr>
                <w:color w:val="000000"/>
                <w:sz w:val="22"/>
                <w:szCs w:val="22"/>
                <w:u w:val="single"/>
                <w:lang w:eastAsia="zh-CN"/>
              </w:rPr>
              <w:t>35.8</w:t>
            </w:r>
          </w:p>
        </w:tc>
      </w:tr>
      <w:tr w:rsidR="00353ED4" w:rsidRPr="00815FA1">
        <w:trPr>
          <w:trHeight w:val="317"/>
          <w:jc w:val="center"/>
        </w:trPr>
        <w:tc>
          <w:tcPr>
            <w:tcW w:w="1660" w:type="dxa"/>
            <w:tcBorders>
              <w:top w:val="single" w:sz="8" w:space="0" w:color="auto"/>
              <w:left w:val="single" w:sz="8" w:space="0" w:color="auto"/>
              <w:bottom w:val="single" w:sz="8" w:space="0" w:color="auto"/>
              <w:right w:val="single" w:sz="8" w:space="0" w:color="auto"/>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TOTAL</w:t>
            </w:r>
          </w:p>
        </w:tc>
        <w:tc>
          <w:tcPr>
            <w:tcW w:w="1147"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905" w:type="dxa"/>
            <w:tcBorders>
              <w:top w:val="single" w:sz="8" w:space="0" w:color="auto"/>
              <w:left w:val="nil"/>
              <w:bottom w:val="single" w:sz="8" w:space="0" w:color="auto"/>
              <w:right w:val="single" w:sz="8" w:space="0" w:color="auto"/>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r>
    </w:tbl>
    <w:p w:rsidR="00353ED4" w:rsidRPr="00815FA1" w:rsidRDefault="00353ED4" w:rsidP="003C3410">
      <w:pPr>
        <w:rPr>
          <w:sz w:val="22"/>
          <w:szCs w:val="22"/>
        </w:rPr>
      </w:pPr>
      <w:r w:rsidRPr="00815FA1">
        <w:rPr>
          <w:sz w:val="22"/>
          <w:szCs w:val="22"/>
        </w:rPr>
        <w:tab/>
        <w:t xml:space="preserve">Sources: ENNIV 1985-2000, ENAHO 2003, 2005, 2006, 2008 </w:t>
      </w:r>
    </w:p>
    <w:p w:rsidR="00353ED4" w:rsidRPr="005F7F2E" w:rsidRDefault="00353ED4" w:rsidP="00FC4943">
      <w:pPr>
        <w:ind w:left="567"/>
        <w:jc w:val="both"/>
        <w:rPr>
          <w:sz w:val="22"/>
        </w:rPr>
      </w:pPr>
      <w:r w:rsidRPr="005F7F2E">
        <w:rPr>
          <w:sz w:val="22"/>
        </w:rPr>
        <w:t xml:space="preserve">Moreover, when considering institutional attention by income levels, ENAHO 2008 shows strong differences. While 43% of the richest income quintile did not access to medical services when sick, 67% did not consult in the poorest income quintile. </w:t>
      </w:r>
    </w:p>
    <w:p w:rsidR="00353ED4" w:rsidRPr="005F7F2E" w:rsidRDefault="00353ED4" w:rsidP="00523653">
      <w:pPr>
        <w:ind w:left="567"/>
        <w:jc w:val="both"/>
        <w:rPr>
          <w:sz w:val="22"/>
        </w:rPr>
      </w:pPr>
      <w:r w:rsidRPr="005F7F2E">
        <w:rPr>
          <w:sz w:val="22"/>
        </w:rPr>
        <w:t xml:space="preserve">Table 5 presents the reasons of no access to medical services by income levels in 2008. The economic barrier is still significant. While in the first income quintile, the poorest quintile, 27% considered not to have enough money to access medical consult, the 7% of the richest quintile considered it </w:t>
      </w:r>
      <w:r>
        <w:rPr>
          <w:sz w:val="22"/>
        </w:rPr>
        <w:t xml:space="preserve">as </w:t>
      </w:r>
      <w:r w:rsidRPr="005F7F2E">
        <w:rPr>
          <w:sz w:val="22"/>
        </w:rPr>
        <w:t xml:space="preserve">an important reason for no access. The cultural fact, been for limited integration and/or by exclusion, continues been also a challenge. And indirect indicator is the selection of the home medicine made by the poor part of the population, where the 24% chose it in comparison with the 6% of the higher incomes quintile. The remoteness and the distrust factors are also higher among the poorest.  </w:t>
      </w:r>
    </w:p>
    <w:p w:rsidR="00353ED4" w:rsidRDefault="00353ED4" w:rsidP="003C3410">
      <w:pPr>
        <w:jc w:val="center"/>
        <w:rPr>
          <w:rStyle w:val="apple-style-span"/>
          <w:rFonts w:cs="Tahoma"/>
          <w:b/>
          <w:sz w:val="22"/>
        </w:rPr>
      </w:pPr>
    </w:p>
    <w:p w:rsidR="00353ED4" w:rsidRDefault="00353ED4" w:rsidP="003C3410">
      <w:pPr>
        <w:jc w:val="center"/>
        <w:rPr>
          <w:rStyle w:val="apple-style-span"/>
          <w:rFonts w:cs="Tahoma"/>
          <w:b/>
          <w:sz w:val="22"/>
        </w:rPr>
      </w:pPr>
    </w:p>
    <w:p w:rsidR="00353ED4" w:rsidRDefault="00353ED4" w:rsidP="003C3410">
      <w:pPr>
        <w:jc w:val="center"/>
        <w:rPr>
          <w:rStyle w:val="apple-style-span"/>
          <w:rFonts w:cs="Tahoma"/>
          <w:b/>
          <w:sz w:val="22"/>
        </w:rPr>
      </w:pPr>
    </w:p>
    <w:p w:rsidR="00353ED4" w:rsidRDefault="00353ED4" w:rsidP="003C3410">
      <w:pPr>
        <w:jc w:val="center"/>
        <w:rPr>
          <w:rStyle w:val="apple-style-span"/>
          <w:rFonts w:cs="Tahoma"/>
          <w:b/>
          <w:sz w:val="22"/>
        </w:rPr>
      </w:pPr>
    </w:p>
    <w:p w:rsidR="00353ED4" w:rsidRDefault="00353ED4" w:rsidP="003C3410">
      <w:pPr>
        <w:jc w:val="center"/>
        <w:rPr>
          <w:rStyle w:val="apple-style-span"/>
          <w:rFonts w:cs="Tahoma"/>
          <w:b/>
          <w:sz w:val="22"/>
        </w:rPr>
      </w:pPr>
    </w:p>
    <w:p w:rsidR="00353ED4" w:rsidRPr="00815FA1" w:rsidRDefault="00353ED4" w:rsidP="003C3410">
      <w:pPr>
        <w:jc w:val="center"/>
        <w:rPr>
          <w:rStyle w:val="apple-style-span"/>
          <w:rFonts w:cs="Tahoma"/>
          <w:b/>
          <w:sz w:val="22"/>
        </w:rPr>
      </w:pPr>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5</w:t>
      </w:r>
      <w:r w:rsidRPr="00815FA1">
        <w:rPr>
          <w:rStyle w:val="apple-style-span"/>
          <w:rFonts w:cs="Tahoma"/>
          <w:b/>
          <w:sz w:val="22"/>
        </w:rPr>
        <w:fldChar w:fldCharType="end"/>
      </w:r>
      <w:r w:rsidRPr="00815FA1">
        <w:rPr>
          <w:rStyle w:val="apple-style-span"/>
          <w:rFonts w:cs="Tahoma"/>
          <w:b/>
          <w:sz w:val="22"/>
        </w:rPr>
        <w:t>: Reasons of no access by income quintile</w:t>
      </w:r>
      <w:r>
        <w:rPr>
          <w:rStyle w:val="apple-style-span"/>
          <w:rFonts w:cs="Tahoma"/>
          <w:b/>
          <w:sz w:val="22"/>
        </w:rPr>
        <w:t>, 2008</w:t>
      </w:r>
    </w:p>
    <w:tbl>
      <w:tblPr>
        <w:tblW w:w="9720" w:type="dxa"/>
        <w:tblInd w:w="-68" w:type="dxa"/>
        <w:tblCellMar>
          <w:left w:w="70" w:type="dxa"/>
          <w:right w:w="70" w:type="dxa"/>
        </w:tblCellMar>
        <w:tblLook w:val="00A0" w:firstRow="1" w:lastRow="0" w:firstColumn="1" w:lastColumn="0" w:noHBand="0" w:noVBand="0"/>
      </w:tblPr>
      <w:tblGrid>
        <w:gridCol w:w="3878"/>
        <w:gridCol w:w="1128"/>
        <w:gridCol w:w="969"/>
        <w:gridCol w:w="969"/>
        <w:gridCol w:w="969"/>
        <w:gridCol w:w="971"/>
        <w:gridCol w:w="836"/>
      </w:tblGrid>
      <w:tr w:rsidR="00353ED4" w:rsidRPr="00815FA1">
        <w:trPr>
          <w:trHeight w:val="615"/>
        </w:trPr>
        <w:tc>
          <w:tcPr>
            <w:tcW w:w="3878" w:type="dxa"/>
            <w:tcBorders>
              <w:top w:val="single" w:sz="8" w:space="0" w:color="auto"/>
              <w:left w:val="single" w:sz="8" w:space="0" w:color="auto"/>
              <w:bottom w:val="single" w:sz="8" w:space="0" w:color="auto"/>
              <w:right w:val="single" w:sz="8"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Reasons</w:t>
            </w:r>
          </w:p>
        </w:tc>
        <w:tc>
          <w:tcPr>
            <w:tcW w:w="1128"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First Quintile</w:t>
            </w:r>
          </w:p>
        </w:tc>
        <w:tc>
          <w:tcPr>
            <w:tcW w:w="969"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Second Quintile</w:t>
            </w:r>
          </w:p>
        </w:tc>
        <w:tc>
          <w:tcPr>
            <w:tcW w:w="969"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Third Quintile</w:t>
            </w:r>
          </w:p>
        </w:tc>
        <w:tc>
          <w:tcPr>
            <w:tcW w:w="969"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Fourth Quintile</w:t>
            </w:r>
          </w:p>
        </w:tc>
        <w:tc>
          <w:tcPr>
            <w:tcW w:w="971" w:type="dxa"/>
            <w:tcBorders>
              <w:top w:val="single" w:sz="8" w:space="0" w:color="auto"/>
              <w:left w:val="nil"/>
              <w:bottom w:val="single" w:sz="8" w:space="0" w:color="auto"/>
              <w:right w:val="nil"/>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Fifth Quintile</w:t>
            </w:r>
          </w:p>
        </w:tc>
        <w:tc>
          <w:tcPr>
            <w:tcW w:w="836" w:type="dxa"/>
            <w:tcBorders>
              <w:top w:val="single" w:sz="8" w:space="0" w:color="auto"/>
              <w:left w:val="single" w:sz="8" w:space="0" w:color="auto"/>
              <w:bottom w:val="single" w:sz="8" w:space="0" w:color="auto"/>
              <w:right w:val="single" w:sz="8"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Total</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Didn't have the money</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26.8</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26.4</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21.9</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15.0</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6.7</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19.0</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It's too far</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8.8</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4.8</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2.7</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3.6</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It takes a lot of time</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2.9</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4.0</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5.2</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5.3</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5.0</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4.5</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Don't trust in doctors</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5.8</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5.6</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4.5</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4.1</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3.3</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4.6</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It wasn't severe/ wasn't necessary</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28.7</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31.4</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35.3</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38.4</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43.7</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35.8</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 xml:space="preserve">Prefers to use homemade remedies </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24.4</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17.2</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11.1</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9.2</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6.3</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13.3</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Isn't insured</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2.2</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1.5</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1.5</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1.2</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0.6</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Self medicated or repeated previous recipe</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13.7</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18.5</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20.1</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21.2</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27.5</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20.4</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Didn't have enough time</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11.3</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12.7</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14.8</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15.7</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14.7</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13.9</w:t>
            </w:r>
          </w:p>
        </w:tc>
      </w:tr>
      <w:tr w:rsidR="00353ED4" w:rsidRPr="00815FA1">
        <w:trPr>
          <w:trHeight w:val="300"/>
        </w:trPr>
        <w:tc>
          <w:tcPr>
            <w:tcW w:w="3878"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Because of the mistreat of the health staff</w:t>
            </w:r>
          </w:p>
        </w:tc>
        <w:tc>
          <w:tcPr>
            <w:tcW w:w="1128"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1.7</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w:t>
            </w:r>
          </w:p>
        </w:tc>
        <w:tc>
          <w:tcPr>
            <w:tcW w:w="969" w:type="dxa"/>
            <w:tcBorders>
              <w:top w:val="nil"/>
              <w:left w:val="nil"/>
              <w:bottom w:val="nil"/>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0.6</w:t>
            </w:r>
          </w:p>
        </w:tc>
        <w:tc>
          <w:tcPr>
            <w:tcW w:w="97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0.6</w:t>
            </w:r>
          </w:p>
        </w:tc>
        <w:tc>
          <w:tcPr>
            <w:tcW w:w="836"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w:t>
            </w:r>
          </w:p>
        </w:tc>
      </w:tr>
      <w:tr w:rsidR="00353ED4" w:rsidRPr="00815FA1">
        <w:trPr>
          <w:trHeight w:val="315"/>
        </w:trPr>
        <w:tc>
          <w:tcPr>
            <w:tcW w:w="3878" w:type="dxa"/>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Other</w:t>
            </w:r>
          </w:p>
        </w:tc>
        <w:tc>
          <w:tcPr>
            <w:tcW w:w="1128" w:type="dxa"/>
            <w:tcBorders>
              <w:top w:val="nil"/>
              <w:left w:val="nil"/>
              <w:bottom w:val="single" w:sz="8" w:space="0" w:color="auto"/>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4.0</w:t>
            </w:r>
          </w:p>
        </w:tc>
        <w:tc>
          <w:tcPr>
            <w:tcW w:w="969" w:type="dxa"/>
            <w:tcBorders>
              <w:top w:val="nil"/>
              <w:left w:val="nil"/>
              <w:bottom w:val="single" w:sz="8" w:space="0" w:color="auto"/>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3.9</w:t>
            </w:r>
          </w:p>
        </w:tc>
        <w:tc>
          <w:tcPr>
            <w:tcW w:w="969" w:type="dxa"/>
            <w:tcBorders>
              <w:top w:val="nil"/>
              <w:left w:val="nil"/>
              <w:bottom w:val="single" w:sz="8" w:space="0" w:color="auto"/>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3.9</w:t>
            </w:r>
          </w:p>
        </w:tc>
        <w:tc>
          <w:tcPr>
            <w:tcW w:w="969" w:type="dxa"/>
            <w:tcBorders>
              <w:top w:val="nil"/>
              <w:left w:val="nil"/>
              <w:bottom w:val="single" w:sz="8" w:space="0" w:color="auto"/>
              <w:right w:val="single" w:sz="4"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4.0</w:t>
            </w:r>
          </w:p>
        </w:tc>
        <w:tc>
          <w:tcPr>
            <w:tcW w:w="971" w:type="dxa"/>
            <w:tcBorders>
              <w:top w:val="nil"/>
              <w:left w:val="nil"/>
              <w:bottom w:val="single" w:sz="8" w:space="0" w:color="auto"/>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4.9</w:t>
            </w:r>
          </w:p>
        </w:tc>
        <w:tc>
          <w:tcPr>
            <w:tcW w:w="836" w:type="dxa"/>
            <w:tcBorders>
              <w:top w:val="nil"/>
              <w:left w:val="single" w:sz="8" w:space="0" w:color="auto"/>
              <w:bottom w:val="single" w:sz="8" w:space="0" w:color="auto"/>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4.1</w:t>
            </w:r>
          </w:p>
        </w:tc>
      </w:tr>
    </w:tbl>
    <w:p w:rsidR="00353ED4" w:rsidRPr="00815FA1" w:rsidRDefault="00353ED4" w:rsidP="003C3410">
      <w:pPr>
        <w:rPr>
          <w:sz w:val="22"/>
          <w:szCs w:val="22"/>
        </w:rPr>
      </w:pPr>
      <w:r w:rsidRPr="00815FA1">
        <w:rPr>
          <w:sz w:val="22"/>
          <w:szCs w:val="22"/>
        </w:rPr>
        <w:t>Sources: ENAHO 2008</w:t>
      </w:r>
    </w:p>
    <w:p w:rsidR="00353ED4" w:rsidRPr="005F7F2E" w:rsidRDefault="00353ED4" w:rsidP="001A3C19">
      <w:pPr>
        <w:ind w:left="567"/>
        <w:jc w:val="both"/>
        <w:rPr>
          <w:sz w:val="22"/>
        </w:rPr>
      </w:pPr>
      <w:r w:rsidRPr="005F7F2E">
        <w:rPr>
          <w:sz w:val="22"/>
        </w:rPr>
        <w:t xml:space="preserve">On the other side, poor population that have access to a MINSA consult, mainly do it in the first level of attention (centers and health care facilities) (see Table 6). The limitations of the population to have access to specialized health services are related to the limited purchasing capacity of the population, and to the type of health establishment that is nearby. For reasons of economies of scale, the health centers are located in rural areas (between 72% and 74%), while most of the hospitals are located in urban areas (between 97% and 98%). (Du Bois, Chávez and Cusato, 2004). The discrimination appears when the establishment of first level attention doesn’t have required resolving capacity, or an efficient reference net with hospitals and specialized institutions.     </w:t>
      </w:r>
    </w:p>
    <w:p w:rsidR="00353ED4" w:rsidRPr="00815FA1" w:rsidRDefault="00353ED4" w:rsidP="00523653">
      <w:pPr>
        <w:jc w:val="center"/>
        <w:rPr>
          <w:rStyle w:val="apple-style-span"/>
          <w:rFonts w:cs="Tahoma"/>
          <w:b/>
          <w:sz w:val="22"/>
        </w:rPr>
      </w:pPr>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6</w:t>
      </w:r>
      <w:r w:rsidRPr="00815FA1">
        <w:rPr>
          <w:rStyle w:val="apple-style-span"/>
          <w:rFonts w:cs="Tahoma"/>
          <w:b/>
          <w:sz w:val="22"/>
        </w:rPr>
        <w:fldChar w:fldCharType="end"/>
      </w:r>
      <w:r w:rsidRPr="00815FA1">
        <w:rPr>
          <w:rStyle w:val="apple-style-span"/>
          <w:rFonts w:cs="Tahoma"/>
          <w:b/>
          <w:sz w:val="22"/>
        </w:rPr>
        <w:t xml:space="preserve">: Institutional </w:t>
      </w:r>
      <w:r>
        <w:rPr>
          <w:rStyle w:val="apple-style-span"/>
          <w:rFonts w:cs="Tahoma"/>
          <w:b/>
          <w:sz w:val="22"/>
        </w:rPr>
        <w:t>c</w:t>
      </w:r>
      <w:r w:rsidRPr="00815FA1">
        <w:rPr>
          <w:rStyle w:val="apple-style-span"/>
          <w:rFonts w:cs="Tahoma"/>
          <w:b/>
          <w:sz w:val="22"/>
        </w:rPr>
        <w:t xml:space="preserve">onsult by </w:t>
      </w:r>
      <w:r>
        <w:rPr>
          <w:rStyle w:val="apple-style-span"/>
          <w:rFonts w:cs="Tahoma"/>
          <w:b/>
          <w:sz w:val="22"/>
        </w:rPr>
        <w:t>expenditure</w:t>
      </w:r>
      <w:r w:rsidRPr="00815FA1">
        <w:rPr>
          <w:rStyle w:val="apple-style-span"/>
          <w:rFonts w:cs="Tahoma"/>
          <w:b/>
          <w:sz w:val="22"/>
        </w:rPr>
        <w:t xml:space="preserve"> </w:t>
      </w:r>
      <w:r>
        <w:rPr>
          <w:rStyle w:val="apple-style-span"/>
          <w:rFonts w:cs="Tahoma"/>
          <w:b/>
          <w:sz w:val="22"/>
        </w:rPr>
        <w:t>q</w:t>
      </w:r>
      <w:r w:rsidRPr="00815FA1">
        <w:rPr>
          <w:rStyle w:val="apple-style-span"/>
          <w:rFonts w:cs="Tahoma"/>
          <w:b/>
          <w:sz w:val="22"/>
        </w:rPr>
        <w:t>uintiles, 2008</w:t>
      </w:r>
    </w:p>
    <w:tbl>
      <w:tblPr>
        <w:tblW w:w="9900" w:type="dxa"/>
        <w:tblInd w:w="-68" w:type="dxa"/>
        <w:tblCellMar>
          <w:left w:w="70" w:type="dxa"/>
          <w:right w:w="70" w:type="dxa"/>
        </w:tblCellMar>
        <w:tblLook w:val="00A0" w:firstRow="1" w:lastRow="0" w:firstColumn="1" w:lastColumn="0" w:noHBand="0" w:noVBand="0"/>
      </w:tblPr>
      <w:tblGrid>
        <w:gridCol w:w="2420"/>
        <w:gridCol w:w="1340"/>
        <w:gridCol w:w="1200"/>
        <w:gridCol w:w="1200"/>
        <w:gridCol w:w="1340"/>
        <w:gridCol w:w="1200"/>
        <w:gridCol w:w="1200"/>
      </w:tblGrid>
      <w:tr w:rsidR="00353ED4" w:rsidRPr="00815FA1">
        <w:trPr>
          <w:trHeight w:val="615"/>
        </w:trPr>
        <w:tc>
          <w:tcPr>
            <w:tcW w:w="2420" w:type="dxa"/>
            <w:tcBorders>
              <w:top w:val="single" w:sz="8" w:space="0" w:color="auto"/>
              <w:left w:val="single" w:sz="8" w:space="0" w:color="auto"/>
              <w:bottom w:val="single" w:sz="8" w:space="0" w:color="auto"/>
              <w:right w:val="nil"/>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Place of attention</w:t>
            </w:r>
          </w:p>
        </w:tc>
        <w:tc>
          <w:tcPr>
            <w:tcW w:w="1340" w:type="dxa"/>
            <w:tcBorders>
              <w:top w:val="single" w:sz="8" w:space="0" w:color="auto"/>
              <w:left w:val="single" w:sz="8" w:space="0" w:color="auto"/>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First Quintile</w:t>
            </w:r>
          </w:p>
        </w:tc>
        <w:tc>
          <w:tcPr>
            <w:tcW w:w="1200"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Second Quintile</w:t>
            </w:r>
          </w:p>
        </w:tc>
        <w:tc>
          <w:tcPr>
            <w:tcW w:w="1200"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Third Quintile</w:t>
            </w:r>
          </w:p>
        </w:tc>
        <w:tc>
          <w:tcPr>
            <w:tcW w:w="1340" w:type="dxa"/>
            <w:tcBorders>
              <w:top w:val="single" w:sz="8" w:space="0" w:color="auto"/>
              <w:left w:val="nil"/>
              <w:bottom w:val="single" w:sz="8" w:space="0" w:color="auto"/>
              <w:right w:val="single" w:sz="4"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Fourth Quintile</w:t>
            </w:r>
          </w:p>
        </w:tc>
        <w:tc>
          <w:tcPr>
            <w:tcW w:w="1200" w:type="dxa"/>
            <w:tcBorders>
              <w:top w:val="single" w:sz="8" w:space="0" w:color="auto"/>
              <w:left w:val="nil"/>
              <w:bottom w:val="single" w:sz="8" w:space="0" w:color="auto"/>
              <w:right w:val="single" w:sz="8"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Fifth Quintile</w:t>
            </w:r>
          </w:p>
        </w:tc>
        <w:tc>
          <w:tcPr>
            <w:tcW w:w="1200" w:type="dxa"/>
            <w:tcBorders>
              <w:top w:val="single" w:sz="8" w:space="0" w:color="auto"/>
              <w:left w:val="nil"/>
              <w:bottom w:val="single" w:sz="8" w:space="0" w:color="auto"/>
              <w:right w:val="single" w:sz="8" w:space="0" w:color="auto"/>
            </w:tcBorders>
            <w:shd w:val="clear" w:color="000000" w:fill="8DB4E3"/>
            <w:vAlign w:val="center"/>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Total</w:t>
            </w:r>
          </w:p>
        </w:tc>
      </w:tr>
      <w:tr w:rsidR="00353ED4" w:rsidRPr="00815FA1">
        <w:trPr>
          <w:trHeight w:val="300"/>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Health Post</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64.6</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53.7</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38.1</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22.9</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7.7</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32.2</w:t>
            </w:r>
          </w:p>
        </w:tc>
      </w:tr>
      <w:tr w:rsidR="00353ED4" w:rsidRPr="00815FA1">
        <w:trPr>
          <w:trHeight w:val="315"/>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Health Center</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25.8</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25.7</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18.7</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13.8</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7.3</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16.4</w:t>
            </w:r>
          </w:p>
        </w:tc>
      </w:tr>
      <w:tr w:rsidR="00353ED4" w:rsidRPr="00815FA1">
        <w:trPr>
          <w:trHeight w:val="315"/>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MINSA Hospital</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5.1</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8.0</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13.6</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13.1</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11.6</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10.8</w:t>
            </w:r>
          </w:p>
        </w:tc>
      </w:tr>
      <w:tr w:rsidR="00353ED4" w:rsidRPr="00815FA1">
        <w:trPr>
          <w:trHeight w:val="304"/>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Essalud</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0.7</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4.4</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11.7</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22.6</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29.6</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16.6</w:t>
            </w:r>
          </w:p>
        </w:tc>
      </w:tr>
      <w:tr w:rsidR="00353ED4" w:rsidRPr="00815FA1">
        <w:trPr>
          <w:trHeight w:val="300"/>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Armed Forces</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0.2</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0.1</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0.2</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2.0</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2.8</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1.4</w:t>
            </w:r>
          </w:p>
        </w:tc>
      </w:tr>
      <w:tr w:rsidR="00353ED4" w:rsidRPr="00815FA1">
        <w:trPr>
          <w:trHeight w:val="315"/>
        </w:trPr>
        <w:tc>
          <w:tcPr>
            <w:tcW w:w="242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Private Practice</w:t>
            </w:r>
          </w:p>
        </w:tc>
        <w:tc>
          <w:tcPr>
            <w:tcW w:w="1340" w:type="dxa"/>
            <w:tcBorders>
              <w:top w:val="nil"/>
              <w:left w:val="single" w:sz="8" w:space="0" w:color="auto"/>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3.6</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8.2</w:t>
            </w:r>
          </w:p>
        </w:tc>
        <w:tc>
          <w:tcPr>
            <w:tcW w:w="12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17.8</w:t>
            </w:r>
          </w:p>
        </w:tc>
        <w:tc>
          <w:tcPr>
            <w:tcW w:w="134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25.5</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41.0</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lang w:eastAsia="zh-CN"/>
              </w:rPr>
            </w:pPr>
            <w:r w:rsidRPr="00815FA1">
              <w:rPr>
                <w:color w:val="000000"/>
                <w:sz w:val="22"/>
                <w:szCs w:val="22"/>
                <w:lang w:eastAsia="zh-CN"/>
              </w:rPr>
              <w:t>22.7</w:t>
            </w:r>
          </w:p>
        </w:tc>
      </w:tr>
      <w:tr w:rsidR="00353ED4" w:rsidRPr="00815FA1">
        <w:trPr>
          <w:trHeight w:val="315"/>
        </w:trPr>
        <w:tc>
          <w:tcPr>
            <w:tcW w:w="2420" w:type="dxa"/>
            <w:tcBorders>
              <w:top w:val="single" w:sz="8" w:space="0" w:color="auto"/>
              <w:left w:val="single" w:sz="8" w:space="0" w:color="auto"/>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Total</w:t>
            </w:r>
          </w:p>
        </w:tc>
        <w:tc>
          <w:tcPr>
            <w:tcW w:w="1340" w:type="dxa"/>
            <w:tcBorders>
              <w:top w:val="single" w:sz="8" w:space="0" w:color="auto"/>
              <w:left w:val="single" w:sz="8" w:space="0" w:color="auto"/>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1200"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1200"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1340" w:type="dxa"/>
            <w:tcBorders>
              <w:top w:val="single" w:sz="8" w:space="0" w:color="auto"/>
              <w:left w:val="nil"/>
              <w:bottom w:val="single" w:sz="8" w:space="0" w:color="auto"/>
              <w:right w:val="nil"/>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1200" w:type="dxa"/>
            <w:tcBorders>
              <w:top w:val="single" w:sz="8" w:space="0" w:color="auto"/>
              <w:left w:val="nil"/>
              <w:bottom w:val="single" w:sz="8" w:space="0" w:color="auto"/>
              <w:right w:val="single" w:sz="8" w:space="0" w:color="auto"/>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c>
          <w:tcPr>
            <w:tcW w:w="1200" w:type="dxa"/>
            <w:tcBorders>
              <w:top w:val="single" w:sz="8" w:space="0" w:color="auto"/>
              <w:left w:val="nil"/>
              <w:bottom w:val="single" w:sz="8" w:space="0" w:color="auto"/>
              <w:right w:val="single" w:sz="8" w:space="0" w:color="auto"/>
            </w:tcBorders>
            <w:shd w:val="clear" w:color="000000" w:fill="DBE5F1"/>
            <w:noWrap/>
            <w:vAlign w:val="bottom"/>
          </w:tcPr>
          <w:p w:rsidR="00353ED4" w:rsidRPr="00815FA1" w:rsidRDefault="00353ED4" w:rsidP="003C3410">
            <w:pPr>
              <w:spacing w:before="0" w:after="0" w:line="240" w:lineRule="auto"/>
              <w:rPr>
                <w:bCs/>
                <w:color w:val="000000"/>
                <w:sz w:val="22"/>
                <w:szCs w:val="22"/>
                <w:lang w:eastAsia="zh-CN"/>
              </w:rPr>
            </w:pPr>
            <w:r w:rsidRPr="00815FA1">
              <w:rPr>
                <w:bCs/>
                <w:color w:val="000000"/>
                <w:sz w:val="22"/>
                <w:szCs w:val="22"/>
                <w:lang w:eastAsia="zh-CN"/>
              </w:rPr>
              <w:t>100</w:t>
            </w:r>
          </w:p>
        </w:tc>
      </w:tr>
    </w:tbl>
    <w:p w:rsidR="00353ED4" w:rsidRPr="00815FA1" w:rsidRDefault="00353ED4" w:rsidP="003C3410">
      <w:pPr>
        <w:jc w:val="both"/>
        <w:rPr>
          <w:sz w:val="22"/>
          <w:szCs w:val="22"/>
        </w:rPr>
      </w:pPr>
      <w:r w:rsidRPr="00815FA1">
        <w:rPr>
          <w:sz w:val="22"/>
          <w:szCs w:val="22"/>
        </w:rPr>
        <w:t>Source: ENAHO</w:t>
      </w:r>
      <w:r>
        <w:rPr>
          <w:sz w:val="22"/>
          <w:szCs w:val="22"/>
        </w:rPr>
        <w:t xml:space="preserve"> 2008</w:t>
      </w:r>
    </w:p>
    <w:p w:rsidR="00353ED4" w:rsidRPr="005F7F2E" w:rsidRDefault="00353ED4" w:rsidP="000B533E">
      <w:pPr>
        <w:ind w:left="567"/>
        <w:jc w:val="both"/>
        <w:rPr>
          <w:sz w:val="22"/>
        </w:rPr>
      </w:pPr>
      <w:r w:rsidRPr="005F7F2E">
        <w:rPr>
          <w:sz w:val="22"/>
        </w:rPr>
        <w:t>However, the analysis of the figures showed in Tables 3 to 6, requires considering the next things:</w:t>
      </w:r>
    </w:p>
    <w:p w:rsidR="00353ED4" w:rsidRPr="005F7F2E" w:rsidRDefault="00353ED4" w:rsidP="003C3410">
      <w:pPr>
        <w:numPr>
          <w:ilvl w:val="0"/>
          <w:numId w:val="29"/>
        </w:numPr>
        <w:jc w:val="both"/>
        <w:rPr>
          <w:sz w:val="22"/>
        </w:rPr>
      </w:pPr>
      <w:r w:rsidRPr="005F7F2E">
        <w:rPr>
          <w:sz w:val="22"/>
        </w:rPr>
        <w:t>The data obtained from the ENAHO is not comparable with the trend 1985-2003 because of changes in methodology.</w:t>
      </w:r>
    </w:p>
    <w:p w:rsidR="00353ED4" w:rsidRPr="005F7F2E" w:rsidRDefault="00353ED4" w:rsidP="003C3410">
      <w:pPr>
        <w:numPr>
          <w:ilvl w:val="0"/>
          <w:numId w:val="29"/>
        </w:numPr>
        <w:jc w:val="both"/>
        <w:rPr>
          <w:sz w:val="22"/>
        </w:rPr>
      </w:pPr>
      <w:r w:rsidRPr="005F7F2E">
        <w:rPr>
          <w:sz w:val="22"/>
        </w:rPr>
        <w:t xml:space="preserve">A continue lost in response in the health module of the population surveyed in the ENAHO is observed, which could compromises its results. While in 2002 the lack of response was just the 0.6% of the subjects surveyed, in 2003 it grew to 3.5%, in 2004 to 6.47% and in 2005 11.4% of the subjects surveyed didn’t answer the health module. The 2008 ENAHO seems to be correcting this problem, as it has a non responsive rate of 4.7%, lower than the one in 2004 and 2005. </w:t>
      </w:r>
    </w:p>
    <w:p w:rsidR="00353ED4" w:rsidRPr="005F7F2E" w:rsidRDefault="00353ED4" w:rsidP="00523653">
      <w:pPr>
        <w:numPr>
          <w:ilvl w:val="0"/>
          <w:numId w:val="29"/>
        </w:numPr>
        <w:jc w:val="both"/>
        <w:rPr>
          <w:sz w:val="22"/>
        </w:rPr>
      </w:pPr>
      <w:r w:rsidRPr="005F7F2E">
        <w:rPr>
          <w:sz w:val="22"/>
        </w:rPr>
        <w:t>ENDES</w:t>
      </w:r>
      <w:r>
        <w:rPr>
          <w:sz w:val="22"/>
        </w:rPr>
        <w:t xml:space="preserve"> data</w:t>
      </w:r>
      <w:r w:rsidRPr="005F7F2E">
        <w:rPr>
          <w:sz w:val="22"/>
        </w:rPr>
        <w:t xml:space="preserve"> shows an important raise in the maternal and child attention occurred between the years 2000 and 2004, which evidences an opposed trend of the ENAHO, as it will be show later. The ENDES survey takes into account demographic and social characteristics of women in childbearing age and of children younger than 5 years old. It is </w:t>
      </w:r>
      <w:r>
        <w:rPr>
          <w:sz w:val="22"/>
        </w:rPr>
        <w:t xml:space="preserve">a </w:t>
      </w:r>
      <w:r w:rsidRPr="005F7F2E">
        <w:rPr>
          <w:sz w:val="22"/>
        </w:rPr>
        <w:t>data set with detailed information regarding pregnancy, delivery and post delivery characteristics and it is representative on a national, regional and by area of residence (urban/rural) level.</w:t>
      </w:r>
    </w:p>
    <w:p w:rsidR="00353ED4" w:rsidRPr="005F7F2E" w:rsidRDefault="00353ED4" w:rsidP="003C3410">
      <w:pPr>
        <w:numPr>
          <w:ilvl w:val="0"/>
          <w:numId w:val="29"/>
        </w:numPr>
        <w:jc w:val="both"/>
        <w:rPr>
          <w:sz w:val="22"/>
        </w:rPr>
      </w:pPr>
      <w:r w:rsidRPr="005F7F2E">
        <w:rPr>
          <w:sz w:val="22"/>
        </w:rPr>
        <w:t xml:space="preserve">The fall in the different providers of institutional attention showed by the ENAHO is not compatible with the expansion of the economy </w:t>
      </w:r>
      <w:r w:rsidRPr="005F7F2E">
        <w:rPr>
          <w:sz w:val="22"/>
          <w:lang w:val="en-GB"/>
        </w:rPr>
        <w:t>or</w:t>
      </w:r>
      <w:r w:rsidRPr="005F7F2E">
        <w:rPr>
          <w:sz w:val="22"/>
        </w:rPr>
        <w:t xml:space="preserve"> with the levels of consumption registered between the years 2002 and 2008.</w:t>
      </w:r>
    </w:p>
    <w:p w:rsidR="00353ED4" w:rsidRPr="00F37291" w:rsidRDefault="00353ED4" w:rsidP="001A3E3C">
      <w:pPr>
        <w:pStyle w:val="Ttulo3"/>
        <w:numPr>
          <w:ilvl w:val="0"/>
          <w:numId w:val="21"/>
        </w:numPr>
      </w:pPr>
      <w:bookmarkStart w:id="26" w:name="_Toc247676656"/>
      <w:bookmarkStart w:id="27" w:name="_Toc247678220"/>
      <w:bookmarkStart w:id="28" w:name="_Toc247884571"/>
      <w:bookmarkStart w:id="29" w:name="_Toc254270028"/>
      <w:r w:rsidRPr="00F37291">
        <w:t>Health insurance</w:t>
      </w:r>
      <w:bookmarkEnd w:id="26"/>
      <w:bookmarkEnd w:id="27"/>
      <w:bookmarkEnd w:id="28"/>
      <w:bookmarkEnd w:id="29"/>
      <w:r w:rsidRPr="00F37291">
        <w:t xml:space="preserve"> </w:t>
      </w:r>
    </w:p>
    <w:p w:rsidR="00353ED4" w:rsidRDefault="00353ED4" w:rsidP="002541AA">
      <w:pPr>
        <w:ind w:left="567"/>
        <w:jc w:val="both"/>
        <w:rPr>
          <w:sz w:val="22"/>
          <w:szCs w:val="22"/>
        </w:rPr>
      </w:pPr>
      <w:r w:rsidRPr="002541AA">
        <w:rPr>
          <w:sz w:val="22"/>
          <w:szCs w:val="22"/>
        </w:rPr>
        <w:t xml:space="preserve">Insurance and proportion of insured population is also an indicator of health services coverage and access. </w:t>
      </w:r>
      <w:r w:rsidR="00132204">
        <w:fldChar w:fldCharType="begin"/>
      </w:r>
      <w:r w:rsidR="00132204">
        <w:instrText xml:space="preserve"> REF _Ref245708016 \h  \* MERGEFORMAT </w:instrText>
      </w:r>
      <w:r w:rsidR="00132204">
        <w:fldChar w:fldCharType="separate"/>
      </w:r>
      <w:r w:rsidRPr="002541AA">
        <w:rPr>
          <w:sz w:val="22"/>
          <w:szCs w:val="22"/>
        </w:rPr>
        <w:t xml:space="preserve">Table </w:t>
      </w:r>
      <w:r w:rsidR="00132204">
        <w:fldChar w:fldCharType="end"/>
      </w:r>
      <w:r w:rsidRPr="002541AA">
        <w:rPr>
          <w:sz w:val="22"/>
          <w:szCs w:val="22"/>
        </w:rPr>
        <w:t>7 shows the trend since 1985 per insurance type.</w:t>
      </w:r>
      <w:bookmarkStart w:id="30" w:name="_Ref245708016"/>
    </w:p>
    <w:p w:rsidR="00353ED4" w:rsidRDefault="00353ED4" w:rsidP="002541AA">
      <w:pPr>
        <w:ind w:left="567"/>
        <w:jc w:val="both"/>
        <w:rPr>
          <w:sz w:val="22"/>
          <w:szCs w:val="22"/>
        </w:rPr>
      </w:pPr>
    </w:p>
    <w:p w:rsidR="00353ED4" w:rsidRDefault="00353ED4" w:rsidP="002541AA">
      <w:pPr>
        <w:ind w:left="567"/>
        <w:jc w:val="both"/>
        <w:rPr>
          <w:sz w:val="22"/>
          <w:szCs w:val="22"/>
        </w:rPr>
      </w:pPr>
    </w:p>
    <w:p w:rsidR="00353ED4" w:rsidRDefault="00353ED4" w:rsidP="002541AA">
      <w:pPr>
        <w:ind w:left="567"/>
        <w:jc w:val="both"/>
        <w:rPr>
          <w:sz w:val="22"/>
          <w:szCs w:val="22"/>
        </w:rPr>
      </w:pPr>
    </w:p>
    <w:p w:rsidR="00353ED4" w:rsidRPr="002541AA" w:rsidRDefault="00353ED4" w:rsidP="002541AA">
      <w:pPr>
        <w:ind w:left="567"/>
        <w:jc w:val="both"/>
        <w:rPr>
          <w:sz w:val="22"/>
          <w:szCs w:val="22"/>
        </w:rPr>
      </w:pPr>
    </w:p>
    <w:p w:rsidR="00353ED4" w:rsidRPr="00815FA1" w:rsidRDefault="00353ED4" w:rsidP="00523653">
      <w:pPr>
        <w:jc w:val="center"/>
        <w:rPr>
          <w:rStyle w:val="apple-style-span"/>
          <w:rFonts w:cs="Tahoma"/>
          <w:b/>
          <w:sz w:val="24"/>
        </w:rPr>
      </w:pPr>
      <w:r w:rsidRPr="00815FA1">
        <w:rPr>
          <w:rStyle w:val="apple-style-span"/>
          <w:rFonts w:cs="Tahoma"/>
          <w:b/>
          <w:sz w:val="21"/>
        </w:rPr>
        <w:t xml:space="preserve">Table </w:t>
      </w:r>
      <w:r w:rsidRPr="00815FA1">
        <w:rPr>
          <w:rStyle w:val="apple-style-span"/>
          <w:rFonts w:cs="Tahoma"/>
          <w:b/>
          <w:sz w:val="21"/>
        </w:rPr>
        <w:fldChar w:fldCharType="begin"/>
      </w:r>
      <w:r w:rsidRPr="00815FA1">
        <w:rPr>
          <w:rStyle w:val="apple-style-span"/>
          <w:rFonts w:cs="Tahoma"/>
          <w:b/>
          <w:sz w:val="21"/>
        </w:rPr>
        <w:instrText xml:space="preserve"> SEQ Chart \* ARABIC </w:instrText>
      </w:r>
      <w:r w:rsidRPr="00815FA1">
        <w:rPr>
          <w:rStyle w:val="apple-style-span"/>
          <w:rFonts w:cs="Tahoma"/>
          <w:b/>
          <w:sz w:val="21"/>
        </w:rPr>
        <w:fldChar w:fldCharType="separate"/>
      </w:r>
      <w:r w:rsidRPr="00815FA1">
        <w:rPr>
          <w:rStyle w:val="apple-style-span"/>
          <w:rFonts w:cs="Tahoma"/>
          <w:b/>
          <w:noProof/>
          <w:sz w:val="21"/>
        </w:rPr>
        <w:t>7</w:t>
      </w:r>
      <w:r w:rsidRPr="00815FA1">
        <w:rPr>
          <w:rStyle w:val="apple-style-span"/>
          <w:rFonts w:cs="Tahoma"/>
          <w:b/>
          <w:sz w:val="21"/>
        </w:rPr>
        <w:fldChar w:fldCharType="end"/>
      </w:r>
      <w:bookmarkEnd w:id="30"/>
      <w:r w:rsidRPr="00815FA1">
        <w:rPr>
          <w:rStyle w:val="apple-style-span"/>
          <w:rFonts w:cs="Tahoma"/>
          <w:b/>
          <w:sz w:val="21"/>
        </w:rPr>
        <w:t xml:space="preserve">: Health </w:t>
      </w:r>
      <w:r>
        <w:rPr>
          <w:rStyle w:val="apple-style-span"/>
          <w:rFonts w:cs="Tahoma"/>
          <w:b/>
          <w:sz w:val="21"/>
        </w:rPr>
        <w:t>i</w:t>
      </w:r>
      <w:r w:rsidRPr="00815FA1">
        <w:rPr>
          <w:rStyle w:val="apple-style-span"/>
          <w:rFonts w:cs="Tahoma"/>
          <w:b/>
          <w:sz w:val="21"/>
        </w:rPr>
        <w:t>nsurance trends</w:t>
      </w:r>
    </w:p>
    <w:p w:rsidR="00353ED4" w:rsidRPr="00815FA1" w:rsidRDefault="00132204" w:rsidP="003C3410">
      <w:pPr>
        <w:rPr>
          <w:rStyle w:val="apple-style-span"/>
          <w:sz w:val="22"/>
          <w:szCs w:val="22"/>
        </w:rPr>
      </w:pPr>
      <w:r>
        <w:rPr>
          <w:noProof/>
          <w:sz w:val="22"/>
          <w:szCs w:val="22"/>
          <w:lang w:val="es-PE" w:eastAsia="es-PE"/>
        </w:rPr>
        <w:drawing>
          <wp:inline distT="0" distB="0" distL="0" distR="0">
            <wp:extent cx="6305550" cy="1581150"/>
            <wp:effectExtent l="0" t="0" r="0" b="0"/>
            <wp:docPr id="4"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1581150"/>
                    </a:xfrm>
                    <a:prstGeom prst="rect">
                      <a:avLst/>
                    </a:prstGeom>
                    <a:noFill/>
                    <a:ln>
                      <a:noFill/>
                    </a:ln>
                  </pic:spPr>
                </pic:pic>
              </a:graphicData>
            </a:graphic>
          </wp:inline>
        </w:drawing>
      </w:r>
    </w:p>
    <w:p w:rsidR="00353ED4" w:rsidRPr="00815FA1" w:rsidRDefault="00353ED4" w:rsidP="003C3410">
      <w:pPr>
        <w:rPr>
          <w:sz w:val="22"/>
          <w:szCs w:val="22"/>
        </w:rPr>
      </w:pPr>
      <w:r w:rsidRPr="00815FA1">
        <w:rPr>
          <w:sz w:val="22"/>
          <w:szCs w:val="22"/>
        </w:rPr>
        <w:t>Source: ENAHO</w:t>
      </w:r>
      <w:r>
        <w:rPr>
          <w:sz w:val="22"/>
          <w:szCs w:val="22"/>
        </w:rPr>
        <w:t xml:space="preserve"> </w:t>
      </w:r>
    </w:p>
    <w:p w:rsidR="00353ED4" w:rsidRPr="002541AA" w:rsidRDefault="00353ED4" w:rsidP="002541AA">
      <w:pPr>
        <w:ind w:left="567"/>
        <w:jc w:val="both"/>
        <w:rPr>
          <w:sz w:val="22"/>
          <w:szCs w:val="22"/>
        </w:rPr>
      </w:pPr>
      <w:r w:rsidRPr="002541AA">
        <w:rPr>
          <w:sz w:val="22"/>
          <w:szCs w:val="22"/>
        </w:rPr>
        <w:t>Between 1985 and 2008, the outlook of insurance in health has changed remarkably with the stagnation of EsSalud and the development of public insurance.  While the population coverage of social security in health (EsSalud) has hold back, the public subsidized insurance, SIS, of partial coverage, had presented an important development. In fact, it accounted for 31% of the insured population in 2008. SIS started as a maternal and infant insurance and has evolved to a more complete insurance that covers all ages, focused on poor and extreme poor families. Affiliations to SIS have doubled in the period 2005-2008, which reflects the success of the insurance (at least in terms of population insured). Thus, the affiliation to the SIS has become an important way to access health services for the poor population. In the poorest quintile, the 41% members of SIS were attended at health services in sickness, while only the 20% of the same quintile that are no SIS members did, mainly concentrated in the rural populations.</w:t>
      </w:r>
    </w:p>
    <w:p w:rsidR="00353ED4" w:rsidRDefault="00353ED4" w:rsidP="00523653">
      <w:pPr>
        <w:ind w:left="567"/>
        <w:jc w:val="both"/>
        <w:rPr>
          <w:sz w:val="22"/>
          <w:szCs w:val="22"/>
        </w:rPr>
      </w:pPr>
      <w:r w:rsidRPr="002541AA">
        <w:rPr>
          <w:sz w:val="22"/>
          <w:szCs w:val="22"/>
        </w:rPr>
        <w:t xml:space="preserve">In order to make progress towards universal of health insurance, a prioritized list of sanitary interventions, PEAS, has been designed (Supreme Decree 004 2007-SA), the ones that are expected to be able to form part of a package in expansion of necessary and explicit universal guarantees. This package must be offer to the entire population, regardless of the risk and income level. The important thing is that the assistance that must be given </w:t>
      </w:r>
      <w:r>
        <w:rPr>
          <w:sz w:val="22"/>
          <w:szCs w:val="22"/>
        </w:rPr>
        <w:t>ha</w:t>
      </w:r>
      <w:r w:rsidRPr="002541AA">
        <w:rPr>
          <w:sz w:val="22"/>
          <w:szCs w:val="22"/>
        </w:rPr>
        <w:t xml:space="preserve">s already been establish, based in sanitary priorities of the population. These allow, in a way, the specification of benefits to be finance, and also help to establish the price list of the assistances. </w:t>
      </w:r>
    </w:p>
    <w:p w:rsidR="00353ED4" w:rsidRDefault="00353ED4" w:rsidP="00523653">
      <w:pPr>
        <w:ind w:left="567"/>
        <w:jc w:val="both"/>
        <w:rPr>
          <w:sz w:val="22"/>
          <w:szCs w:val="22"/>
        </w:rPr>
      </w:pPr>
    </w:p>
    <w:p w:rsidR="00353ED4" w:rsidRDefault="00353ED4" w:rsidP="00523653">
      <w:pPr>
        <w:ind w:left="567"/>
        <w:jc w:val="both"/>
        <w:rPr>
          <w:sz w:val="22"/>
          <w:szCs w:val="22"/>
        </w:rPr>
      </w:pPr>
    </w:p>
    <w:p w:rsidR="00353ED4" w:rsidRDefault="00353ED4" w:rsidP="00523653">
      <w:pPr>
        <w:ind w:left="567"/>
        <w:jc w:val="both"/>
        <w:rPr>
          <w:sz w:val="22"/>
          <w:szCs w:val="22"/>
        </w:rPr>
      </w:pPr>
    </w:p>
    <w:p w:rsidR="00353ED4" w:rsidRPr="001A3E3C" w:rsidRDefault="00353ED4" w:rsidP="00523653">
      <w:pPr>
        <w:ind w:left="567"/>
        <w:jc w:val="both"/>
        <w:rPr>
          <w:rStyle w:val="apple-style-span"/>
          <w:sz w:val="24"/>
          <w:szCs w:val="22"/>
        </w:rPr>
      </w:pPr>
    </w:p>
    <w:p w:rsidR="00353ED4" w:rsidRPr="00815FA1" w:rsidRDefault="00353ED4" w:rsidP="003C3410">
      <w:pPr>
        <w:jc w:val="center"/>
        <w:rPr>
          <w:rStyle w:val="apple-style-span"/>
          <w:rFonts w:cs="Tahoma"/>
          <w:b/>
          <w:sz w:val="22"/>
        </w:rPr>
      </w:pPr>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8</w:t>
      </w:r>
      <w:r w:rsidRPr="00815FA1">
        <w:rPr>
          <w:rStyle w:val="apple-style-span"/>
          <w:rFonts w:cs="Tahoma"/>
          <w:b/>
          <w:sz w:val="22"/>
        </w:rPr>
        <w:fldChar w:fldCharType="end"/>
      </w:r>
      <w:r w:rsidRPr="00815FA1">
        <w:rPr>
          <w:rStyle w:val="apple-style-span"/>
          <w:rFonts w:cs="Tahoma"/>
          <w:b/>
          <w:sz w:val="22"/>
        </w:rPr>
        <w:t>: Health Insuranc</w:t>
      </w:r>
      <w:r>
        <w:rPr>
          <w:rStyle w:val="apple-style-span"/>
          <w:rFonts w:cs="Tahoma"/>
          <w:b/>
          <w:sz w:val="22"/>
        </w:rPr>
        <w:t>e trends by area of residence</w:t>
      </w:r>
    </w:p>
    <w:p w:rsidR="00353ED4" w:rsidRPr="00815FA1" w:rsidRDefault="00132204" w:rsidP="003C3410">
      <w:pPr>
        <w:jc w:val="center"/>
        <w:rPr>
          <w:rStyle w:val="apple-style-span"/>
          <w:sz w:val="22"/>
          <w:szCs w:val="22"/>
        </w:rPr>
      </w:pPr>
      <w:r>
        <w:rPr>
          <w:noProof/>
          <w:sz w:val="22"/>
          <w:szCs w:val="22"/>
          <w:lang w:val="es-PE" w:eastAsia="es-PE"/>
        </w:rPr>
        <w:drawing>
          <wp:inline distT="0" distB="0" distL="0" distR="0">
            <wp:extent cx="3629025" cy="1914525"/>
            <wp:effectExtent l="0" t="0" r="9525" b="9525"/>
            <wp:docPr id="5"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1914525"/>
                    </a:xfrm>
                    <a:prstGeom prst="rect">
                      <a:avLst/>
                    </a:prstGeom>
                    <a:noFill/>
                    <a:ln>
                      <a:noFill/>
                    </a:ln>
                  </pic:spPr>
                </pic:pic>
              </a:graphicData>
            </a:graphic>
          </wp:inline>
        </w:drawing>
      </w:r>
    </w:p>
    <w:p w:rsidR="00353ED4" w:rsidRPr="00815FA1" w:rsidRDefault="00353ED4" w:rsidP="003C3410">
      <w:pPr>
        <w:ind w:left="708" w:firstLine="708"/>
        <w:rPr>
          <w:sz w:val="22"/>
          <w:szCs w:val="22"/>
        </w:rPr>
      </w:pPr>
      <w:r w:rsidRPr="00815FA1">
        <w:rPr>
          <w:sz w:val="22"/>
          <w:szCs w:val="22"/>
        </w:rPr>
        <w:t>Source: ENAHO</w:t>
      </w:r>
    </w:p>
    <w:p w:rsidR="00353ED4" w:rsidRPr="002541AA" w:rsidRDefault="00353ED4" w:rsidP="002541AA">
      <w:pPr>
        <w:ind w:left="567"/>
        <w:jc w:val="both"/>
        <w:rPr>
          <w:sz w:val="22"/>
          <w:szCs w:val="22"/>
        </w:rPr>
      </w:pPr>
      <w:r w:rsidRPr="002541AA">
        <w:rPr>
          <w:sz w:val="22"/>
          <w:szCs w:val="22"/>
        </w:rPr>
        <w:t xml:space="preserve">Urban and rural differences show the uneven importance of EsSalud (basically a health insurance for formal workers). SIS accounts for almost all insured population in rural areas and more than half of total rural population. SIS has also contributed to change the urban/rural insured population composition, as can be seen in Table 8. </w:t>
      </w:r>
    </w:p>
    <w:p w:rsidR="00353ED4" w:rsidRPr="002541AA" w:rsidRDefault="00353ED4" w:rsidP="002541AA">
      <w:pPr>
        <w:ind w:left="567"/>
        <w:jc w:val="both"/>
        <w:rPr>
          <w:sz w:val="22"/>
          <w:szCs w:val="22"/>
        </w:rPr>
      </w:pPr>
      <w:r w:rsidRPr="002541AA">
        <w:rPr>
          <w:sz w:val="22"/>
          <w:szCs w:val="22"/>
        </w:rPr>
        <w:t xml:space="preserve">Moreover, when considering </w:t>
      </w:r>
      <w:r>
        <w:rPr>
          <w:sz w:val="22"/>
          <w:szCs w:val="22"/>
        </w:rPr>
        <w:t>expenditure</w:t>
      </w:r>
      <w:r w:rsidRPr="002541AA">
        <w:rPr>
          <w:sz w:val="22"/>
          <w:szCs w:val="22"/>
        </w:rPr>
        <w:t xml:space="preserve"> quintiles, it is important to realize that among the poorest population, 63% are affiliated to SIS (ENAHO, 2008). SIS is the only insurance alternative for the poorest population. </w:t>
      </w:r>
    </w:p>
    <w:p w:rsidR="00353ED4" w:rsidRPr="001A3E3C" w:rsidRDefault="00353ED4" w:rsidP="00523653">
      <w:pPr>
        <w:ind w:left="567"/>
        <w:jc w:val="both"/>
        <w:rPr>
          <w:rStyle w:val="apple-style-span"/>
          <w:rFonts w:cs="Tahoma"/>
          <w:sz w:val="22"/>
        </w:rPr>
      </w:pPr>
      <w:r w:rsidRPr="002541AA">
        <w:rPr>
          <w:sz w:val="22"/>
          <w:szCs w:val="22"/>
        </w:rPr>
        <w:t>It is in this way, and with the perspective of the universal insurance, that the public budget’s General Direction of the M</w:t>
      </w:r>
      <w:r>
        <w:rPr>
          <w:sz w:val="22"/>
          <w:szCs w:val="22"/>
        </w:rPr>
        <w:t xml:space="preserve">EF </w:t>
      </w:r>
      <w:r w:rsidRPr="002541AA">
        <w:rPr>
          <w:sz w:val="22"/>
          <w:szCs w:val="22"/>
        </w:rPr>
        <w:t>has increased the budget assigned to the SIS, although this budget is still not enough given the goals and mandates not financed.</w:t>
      </w:r>
      <w:r w:rsidRPr="001A3E3C">
        <w:rPr>
          <w:rStyle w:val="apple-style-span"/>
          <w:rFonts w:cs="Tahoma"/>
          <w:sz w:val="22"/>
        </w:rPr>
        <w:t xml:space="preserve"> </w:t>
      </w:r>
    </w:p>
    <w:p w:rsidR="00353ED4" w:rsidRPr="00815FA1" w:rsidRDefault="00353ED4" w:rsidP="003C3410">
      <w:pPr>
        <w:jc w:val="center"/>
        <w:rPr>
          <w:rStyle w:val="apple-style-span"/>
          <w:rFonts w:cs="Tahoma"/>
          <w:b/>
          <w:sz w:val="22"/>
        </w:rPr>
      </w:pPr>
      <w:r w:rsidRPr="00815FA1">
        <w:rPr>
          <w:rStyle w:val="apple-style-span"/>
          <w:rFonts w:cs="Tahoma"/>
          <w:b/>
          <w:sz w:val="22"/>
        </w:rPr>
        <w:t xml:space="preserve">Table </w:t>
      </w:r>
      <w:r w:rsidRPr="00815FA1">
        <w:rPr>
          <w:rStyle w:val="apple-style-span"/>
          <w:rFonts w:cs="Tahoma"/>
          <w:b/>
          <w:sz w:val="22"/>
        </w:rPr>
        <w:fldChar w:fldCharType="begin"/>
      </w:r>
      <w:r w:rsidRPr="00815FA1">
        <w:rPr>
          <w:rStyle w:val="apple-style-span"/>
          <w:rFonts w:cs="Tahoma"/>
          <w:b/>
          <w:sz w:val="22"/>
        </w:rPr>
        <w:instrText xml:space="preserve"> SEQ Chart \* ARABIC </w:instrText>
      </w:r>
      <w:r w:rsidRPr="00815FA1">
        <w:rPr>
          <w:rStyle w:val="apple-style-span"/>
          <w:rFonts w:cs="Tahoma"/>
          <w:b/>
          <w:sz w:val="22"/>
        </w:rPr>
        <w:fldChar w:fldCharType="separate"/>
      </w:r>
      <w:r w:rsidRPr="00815FA1">
        <w:rPr>
          <w:rStyle w:val="apple-style-span"/>
          <w:rFonts w:cs="Tahoma"/>
          <w:b/>
          <w:noProof/>
          <w:sz w:val="22"/>
        </w:rPr>
        <w:t>9</w:t>
      </w:r>
      <w:r w:rsidRPr="00815FA1">
        <w:rPr>
          <w:rStyle w:val="apple-style-span"/>
          <w:rFonts w:cs="Tahoma"/>
          <w:b/>
          <w:sz w:val="22"/>
        </w:rPr>
        <w:fldChar w:fldCharType="end"/>
      </w:r>
      <w:r w:rsidRPr="00815FA1">
        <w:rPr>
          <w:rStyle w:val="apple-style-span"/>
          <w:rFonts w:cs="Tahoma"/>
          <w:b/>
          <w:sz w:val="22"/>
        </w:rPr>
        <w:t>: Integral Health Insurance (SIS) expenditure evolution (2002-2008)</w:t>
      </w:r>
    </w:p>
    <w:tbl>
      <w:tblPr>
        <w:tblW w:w="9662" w:type="dxa"/>
        <w:jc w:val="center"/>
        <w:tblCellMar>
          <w:left w:w="70" w:type="dxa"/>
          <w:right w:w="70" w:type="dxa"/>
        </w:tblCellMar>
        <w:tblLook w:val="00A0" w:firstRow="1" w:lastRow="0" w:firstColumn="1" w:lastColumn="0" w:noHBand="0" w:noVBand="0"/>
      </w:tblPr>
      <w:tblGrid>
        <w:gridCol w:w="2424"/>
        <w:gridCol w:w="1153"/>
        <w:gridCol w:w="1153"/>
        <w:gridCol w:w="1153"/>
        <w:gridCol w:w="1153"/>
        <w:gridCol w:w="1153"/>
        <w:gridCol w:w="1153"/>
        <w:gridCol w:w="1153"/>
      </w:tblGrid>
      <w:tr w:rsidR="00353ED4" w:rsidRPr="00815FA1">
        <w:trPr>
          <w:trHeight w:val="341"/>
          <w:jc w:val="center"/>
        </w:trPr>
        <w:tc>
          <w:tcPr>
            <w:tcW w:w="2424" w:type="dxa"/>
            <w:tcBorders>
              <w:top w:val="nil"/>
              <w:left w:val="nil"/>
              <w:bottom w:val="nil"/>
              <w:right w:val="nil"/>
            </w:tcBorders>
            <w:noWrap/>
            <w:vAlign w:val="bottom"/>
          </w:tcPr>
          <w:p w:rsidR="00353ED4" w:rsidRPr="00815FA1" w:rsidRDefault="00353ED4" w:rsidP="003C3410">
            <w:pPr>
              <w:rPr>
                <w:color w:val="000000"/>
                <w:szCs w:val="22"/>
              </w:rPr>
            </w:pPr>
          </w:p>
        </w:tc>
        <w:tc>
          <w:tcPr>
            <w:tcW w:w="1034" w:type="dxa"/>
            <w:tcBorders>
              <w:top w:val="single" w:sz="8" w:space="0" w:color="auto"/>
              <w:left w:val="single" w:sz="8" w:space="0" w:color="auto"/>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2002</w:t>
            </w:r>
          </w:p>
        </w:tc>
        <w:tc>
          <w:tcPr>
            <w:tcW w:w="1034" w:type="dxa"/>
            <w:tcBorders>
              <w:top w:val="single" w:sz="8" w:space="0" w:color="auto"/>
              <w:left w:val="nil"/>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2003</w:t>
            </w:r>
          </w:p>
        </w:tc>
        <w:tc>
          <w:tcPr>
            <w:tcW w:w="1034" w:type="dxa"/>
            <w:tcBorders>
              <w:top w:val="single" w:sz="8" w:space="0" w:color="auto"/>
              <w:left w:val="nil"/>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2004</w:t>
            </w:r>
          </w:p>
        </w:tc>
        <w:tc>
          <w:tcPr>
            <w:tcW w:w="1034" w:type="dxa"/>
            <w:tcBorders>
              <w:top w:val="single" w:sz="8" w:space="0" w:color="auto"/>
              <w:left w:val="nil"/>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2005</w:t>
            </w:r>
          </w:p>
        </w:tc>
        <w:tc>
          <w:tcPr>
            <w:tcW w:w="1034" w:type="dxa"/>
            <w:tcBorders>
              <w:top w:val="single" w:sz="8" w:space="0" w:color="auto"/>
              <w:left w:val="nil"/>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2006</w:t>
            </w:r>
          </w:p>
        </w:tc>
        <w:tc>
          <w:tcPr>
            <w:tcW w:w="1034" w:type="dxa"/>
            <w:tcBorders>
              <w:top w:val="single" w:sz="8" w:space="0" w:color="auto"/>
              <w:left w:val="nil"/>
              <w:bottom w:val="single" w:sz="8" w:space="0" w:color="auto"/>
              <w:right w:val="nil"/>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2007</w:t>
            </w:r>
          </w:p>
        </w:tc>
        <w:tc>
          <w:tcPr>
            <w:tcW w:w="1034" w:type="dxa"/>
            <w:tcBorders>
              <w:top w:val="single" w:sz="8" w:space="0" w:color="auto"/>
              <w:left w:val="nil"/>
              <w:bottom w:val="single" w:sz="8" w:space="0" w:color="auto"/>
              <w:right w:val="single" w:sz="8" w:space="0" w:color="auto"/>
            </w:tcBorders>
            <w:shd w:val="clear" w:color="000000" w:fill="8DB4E3"/>
            <w:noWrap/>
            <w:vAlign w:val="bottom"/>
          </w:tcPr>
          <w:p w:rsidR="00353ED4" w:rsidRPr="00815FA1" w:rsidRDefault="00353ED4" w:rsidP="003C3410">
            <w:pPr>
              <w:jc w:val="center"/>
              <w:rPr>
                <w:color w:val="000000"/>
                <w:szCs w:val="22"/>
              </w:rPr>
            </w:pPr>
            <w:r w:rsidRPr="00815FA1">
              <w:rPr>
                <w:color w:val="000000"/>
                <w:szCs w:val="22"/>
              </w:rPr>
              <w:t>2008</w:t>
            </w:r>
          </w:p>
        </w:tc>
      </w:tr>
      <w:tr w:rsidR="00353ED4" w:rsidRPr="00815FA1">
        <w:trPr>
          <w:trHeight w:val="324"/>
          <w:jc w:val="center"/>
        </w:trPr>
        <w:tc>
          <w:tcPr>
            <w:tcW w:w="2424" w:type="dxa"/>
            <w:tcBorders>
              <w:top w:val="single" w:sz="8" w:space="0" w:color="auto"/>
              <w:left w:val="single" w:sz="8" w:space="0" w:color="auto"/>
              <w:bottom w:val="nil"/>
              <w:right w:val="single" w:sz="8" w:space="0" w:color="auto"/>
            </w:tcBorders>
            <w:noWrap/>
            <w:vAlign w:val="center"/>
          </w:tcPr>
          <w:p w:rsidR="00353ED4" w:rsidRPr="00815FA1" w:rsidRDefault="00353ED4" w:rsidP="003C3410">
            <w:pPr>
              <w:rPr>
                <w:color w:val="000000"/>
                <w:szCs w:val="22"/>
              </w:rPr>
            </w:pPr>
            <w:r w:rsidRPr="00815FA1">
              <w:rPr>
                <w:color w:val="000000"/>
                <w:szCs w:val="22"/>
              </w:rPr>
              <w:t>Value of production (in Nuevos Soles)</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228,936,715</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275,709,570</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205,961,722</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237,332,136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266,458,536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300,254,743</w:t>
            </w:r>
          </w:p>
        </w:tc>
        <w:tc>
          <w:tcPr>
            <w:tcW w:w="1034" w:type="dxa"/>
            <w:tcBorders>
              <w:top w:val="nil"/>
              <w:left w:val="nil"/>
              <w:bottom w:val="nil"/>
              <w:right w:val="single" w:sz="8" w:space="0" w:color="auto"/>
            </w:tcBorders>
            <w:noWrap/>
            <w:vAlign w:val="center"/>
          </w:tcPr>
          <w:p w:rsidR="00353ED4" w:rsidRPr="00815FA1" w:rsidRDefault="00353ED4" w:rsidP="003C3410">
            <w:pPr>
              <w:jc w:val="center"/>
              <w:rPr>
                <w:color w:val="000000"/>
                <w:szCs w:val="22"/>
              </w:rPr>
            </w:pPr>
            <w:r w:rsidRPr="00815FA1">
              <w:rPr>
                <w:color w:val="000000"/>
                <w:szCs w:val="22"/>
              </w:rPr>
              <w:t>411,255,050</w:t>
            </w:r>
          </w:p>
        </w:tc>
      </w:tr>
      <w:tr w:rsidR="00353ED4" w:rsidRPr="00815FA1">
        <w:trPr>
          <w:trHeight w:val="324"/>
          <w:jc w:val="center"/>
        </w:trPr>
        <w:tc>
          <w:tcPr>
            <w:tcW w:w="2424" w:type="dxa"/>
            <w:tcBorders>
              <w:top w:val="nil"/>
              <w:left w:val="single" w:sz="8" w:space="0" w:color="auto"/>
              <w:bottom w:val="nil"/>
              <w:right w:val="single" w:sz="8" w:space="0" w:color="auto"/>
            </w:tcBorders>
            <w:noWrap/>
            <w:vAlign w:val="center"/>
          </w:tcPr>
          <w:p w:rsidR="00353ED4" w:rsidRPr="00815FA1" w:rsidRDefault="00353ED4" w:rsidP="003C3410">
            <w:pPr>
              <w:rPr>
                <w:color w:val="000000"/>
                <w:szCs w:val="22"/>
              </w:rPr>
            </w:pPr>
            <w:r w:rsidRPr="00815FA1">
              <w:rPr>
                <w:color w:val="000000"/>
                <w:szCs w:val="22"/>
              </w:rPr>
              <w:t>Transfers (in Nuevos Soles)</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166,229,736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207,290,816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280,366,257</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251,053,416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266,481,036</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283,366,532</w:t>
            </w:r>
          </w:p>
        </w:tc>
        <w:tc>
          <w:tcPr>
            <w:tcW w:w="1034" w:type="dxa"/>
            <w:tcBorders>
              <w:top w:val="nil"/>
              <w:left w:val="nil"/>
              <w:bottom w:val="nil"/>
              <w:right w:val="single" w:sz="8" w:space="0" w:color="auto"/>
            </w:tcBorders>
            <w:noWrap/>
            <w:vAlign w:val="center"/>
          </w:tcPr>
          <w:p w:rsidR="00353ED4" w:rsidRPr="00815FA1" w:rsidRDefault="00353ED4" w:rsidP="003C3410">
            <w:pPr>
              <w:jc w:val="center"/>
              <w:rPr>
                <w:color w:val="000000"/>
                <w:szCs w:val="22"/>
              </w:rPr>
            </w:pPr>
            <w:r w:rsidRPr="00815FA1">
              <w:rPr>
                <w:color w:val="000000"/>
                <w:szCs w:val="22"/>
              </w:rPr>
              <w:t>419,586,451</w:t>
            </w:r>
          </w:p>
        </w:tc>
      </w:tr>
      <w:tr w:rsidR="00353ED4" w:rsidRPr="00815FA1">
        <w:trPr>
          <w:trHeight w:val="341"/>
          <w:jc w:val="center"/>
        </w:trPr>
        <w:tc>
          <w:tcPr>
            <w:tcW w:w="2424" w:type="dxa"/>
            <w:tcBorders>
              <w:top w:val="nil"/>
              <w:left w:val="single" w:sz="8" w:space="0" w:color="auto"/>
              <w:bottom w:val="nil"/>
              <w:right w:val="single" w:sz="8" w:space="0" w:color="auto"/>
            </w:tcBorders>
            <w:noWrap/>
            <w:vAlign w:val="center"/>
          </w:tcPr>
          <w:p w:rsidR="00353ED4" w:rsidRPr="00815FA1" w:rsidRDefault="00353ED4" w:rsidP="003C3410">
            <w:pPr>
              <w:rPr>
                <w:color w:val="000000"/>
                <w:szCs w:val="22"/>
              </w:rPr>
            </w:pPr>
            <w:r w:rsidRPr="00815FA1">
              <w:rPr>
                <w:color w:val="000000"/>
                <w:szCs w:val="22"/>
              </w:rPr>
              <w:t>Attentions</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15,170,607</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18,603,827</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13,068,769</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14,915,217</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17,430,217</w:t>
            </w:r>
          </w:p>
        </w:tc>
        <w:tc>
          <w:tcPr>
            <w:tcW w:w="1034" w:type="dxa"/>
            <w:tcBorders>
              <w:top w:val="nil"/>
              <w:left w:val="nil"/>
              <w:bottom w:val="nil"/>
              <w:right w:val="nil"/>
            </w:tcBorders>
            <w:noWrap/>
            <w:vAlign w:val="center"/>
          </w:tcPr>
          <w:p w:rsidR="00353ED4" w:rsidRPr="00815FA1" w:rsidRDefault="00353ED4" w:rsidP="003C3410">
            <w:pPr>
              <w:jc w:val="center"/>
              <w:rPr>
                <w:color w:val="000000"/>
                <w:szCs w:val="22"/>
              </w:rPr>
            </w:pPr>
            <w:r w:rsidRPr="00815FA1">
              <w:rPr>
                <w:color w:val="000000"/>
                <w:szCs w:val="22"/>
              </w:rPr>
              <w:t>21,537,406</w:t>
            </w:r>
          </w:p>
        </w:tc>
        <w:tc>
          <w:tcPr>
            <w:tcW w:w="1034" w:type="dxa"/>
            <w:tcBorders>
              <w:top w:val="nil"/>
              <w:left w:val="nil"/>
              <w:bottom w:val="nil"/>
              <w:right w:val="single" w:sz="8" w:space="0" w:color="auto"/>
            </w:tcBorders>
            <w:noWrap/>
            <w:vAlign w:val="center"/>
          </w:tcPr>
          <w:p w:rsidR="00353ED4" w:rsidRPr="00815FA1" w:rsidRDefault="00353ED4" w:rsidP="003C3410">
            <w:pPr>
              <w:jc w:val="center"/>
              <w:rPr>
                <w:color w:val="000000"/>
                <w:szCs w:val="22"/>
              </w:rPr>
            </w:pPr>
            <w:r w:rsidRPr="00815FA1">
              <w:rPr>
                <w:color w:val="000000"/>
                <w:szCs w:val="22"/>
              </w:rPr>
              <w:t>27,615,099</w:t>
            </w:r>
          </w:p>
        </w:tc>
      </w:tr>
      <w:tr w:rsidR="00353ED4" w:rsidRPr="00815FA1">
        <w:trPr>
          <w:trHeight w:val="341"/>
          <w:jc w:val="center"/>
        </w:trPr>
        <w:tc>
          <w:tcPr>
            <w:tcW w:w="2424" w:type="dxa"/>
            <w:tcBorders>
              <w:top w:val="single" w:sz="8" w:space="0" w:color="auto"/>
              <w:left w:val="single" w:sz="8" w:space="0" w:color="auto"/>
              <w:bottom w:val="single" w:sz="8" w:space="0" w:color="auto"/>
              <w:right w:val="single" w:sz="8" w:space="0" w:color="auto"/>
            </w:tcBorders>
            <w:shd w:val="clear" w:color="000000" w:fill="DBE5F1"/>
            <w:noWrap/>
            <w:vAlign w:val="bottom"/>
          </w:tcPr>
          <w:p w:rsidR="00353ED4" w:rsidRPr="00815FA1" w:rsidRDefault="00353ED4" w:rsidP="003C3410">
            <w:pPr>
              <w:rPr>
                <w:color w:val="000000"/>
                <w:szCs w:val="22"/>
              </w:rPr>
            </w:pPr>
            <w:r w:rsidRPr="00815FA1">
              <w:rPr>
                <w:color w:val="000000"/>
                <w:szCs w:val="22"/>
              </w:rPr>
              <w:t>Transfers per attention (in Nuevos Soles)</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11.0</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11.1</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21.5</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16.8</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15.3</w:t>
            </w:r>
          </w:p>
        </w:tc>
        <w:tc>
          <w:tcPr>
            <w:tcW w:w="1034" w:type="dxa"/>
            <w:tcBorders>
              <w:top w:val="single" w:sz="8" w:space="0" w:color="auto"/>
              <w:left w:val="nil"/>
              <w:bottom w:val="single" w:sz="8" w:space="0" w:color="auto"/>
              <w:right w:val="nil"/>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13.2</w:t>
            </w:r>
          </w:p>
        </w:tc>
        <w:tc>
          <w:tcPr>
            <w:tcW w:w="1034" w:type="dxa"/>
            <w:tcBorders>
              <w:top w:val="single" w:sz="8" w:space="0" w:color="auto"/>
              <w:left w:val="nil"/>
              <w:bottom w:val="single" w:sz="8" w:space="0" w:color="auto"/>
              <w:right w:val="single" w:sz="8" w:space="0" w:color="auto"/>
            </w:tcBorders>
            <w:shd w:val="clear" w:color="000000" w:fill="DBE5F1"/>
            <w:noWrap/>
            <w:vAlign w:val="center"/>
          </w:tcPr>
          <w:p w:rsidR="00353ED4" w:rsidRPr="00815FA1" w:rsidRDefault="00353ED4" w:rsidP="003C3410">
            <w:pPr>
              <w:jc w:val="center"/>
              <w:rPr>
                <w:color w:val="000000"/>
                <w:szCs w:val="22"/>
              </w:rPr>
            </w:pPr>
            <w:r w:rsidRPr="00815FA1">
              <w:rPr>
                <w:color w:val="000000"/>
                <w:szCs w:val="22"/>
              </w:rPr>
              <w:t>15.2</w:t>
            </w:r>
          </w:p>
        </w:tc>
      </w:tr>
    </w:tbl>
    <w:p w:rsidR="00353ED4" w:rsidRPr="00815FA1" w:rsidRDefault="00353ED4" w:rsidP="003C3410">
      <w:pPr>
        <w:rPr>
          <w:bCs/>
          <w:sz w:val="22"/>
          <w:szCs w:val="22"/>
        </w:rPr>
      </w:pPr>
      <w:r w:rsidRPr="00815FA1">
        <w:rPr>
          <w:bCs/>
          <w:sz w:val="22"/>
          <w:szCs w:val="22"/>
        </w:rPr>
        <w:t>Source: SIS</w:t>
      </w:r>
    </w:p>
    <w:p w:rsidR="00353ED4" w:rsidRPr="00F37291" w:rsidRDefault="00353ED4" w:rsidP="009C6718">
      <w:pPr>
        <w:pStyle w:val="Ttulo3"/>
        <w:numPr>
          <w:ilvl w:val="0"/>
          <w:numId w:val="21"/>
        </w:numPr>
        <w:rPr>
          <w:rStyle w:val="apple-style-span"/>
          <w:vertAlign w:val="superscript"/>
        </w:rPr>
      </w:pPr>
      <w:bookmarkStart w:id="31" w:name="_Toc254270029"/>
      <w:bookmarkEnd w:id="23"/>
      <w:r w:rsidRPr="00F37291">
        <w:t>Institutional delivery</w:t>
      </w:r>
      <w:r w:rsidRPr="00F37291">
        <w:rPr>
          <w:rStyle w:val="apple-style-span"/>
          <w:vertAlign w:val="superscript"/>
        </w:rPr>
        <w:footnoteReference w:id="5"/>
      </w:r>
      <w:r w:rsidRPr="00F37291">
        <w:rPr>
          <w:rStyle w:val="apple-style-span"/>
          <w:vertAlign w:val="superscript"/>
        </w:rPr>
        <w:t>,</w:t>
      </w:r>
      <w:r w:rsidRPr="00F37291">
        <w:rPr>
          <w:rStyle w:val="apple-style-span"/>
          <w:vertAlign w:val="superscript"/>
        </w:rPr>
        <w:footnoteReference w:id="6"/>
      </w:r>
      <w:bookmarkEnd w:id="31"/>
    </w:p>
    <w:p w:rsidR="00353ED4" w:rsidRPr="002541AA" w:rsidRDefault="00353ED4" w:rsidP="00523653">
      <w:pPr>
        <w:ind w:left="567"/>
        <w:jc w:val="both"/>
        <w:rPr>
          <w:sz w:val="22"/>
          <w:szCs w:val="22"/>
        </w:rPr>
      </w:pPr>
      <w:r w:rsidRPr="002541AA">
        <w:rPr>
          <w:sz w:val="22"/>
          <w:szCs w:val="22"/>
        </w:rPr>
        <w:t>Th</w:t>
      </w:r>
      <w:r>
        <w:rPr>
          <w:sz w:val="22"/>
          <w:szCs w:val="22"/>
        </w:rPr>
        <w:t xml:space="preserve">is study </w:t>
      </w:r>
      <w:r w:rsidRPr="002541AA">
        <w:rPr>
          <w:sz w:val="22"/>
          <w:szCs w:val="22"/>
        </w:rPr>
        <w:t>also considers the analysis of one of the five budgetary programs created in the performance based budget framework. This refers to the strategic Program of Maternal and Neonatal Health (PSMN according to its initials in Spanish), which objectives are explained in Table 1</w:t>
      </w:r>
      <w:r>
        <w:rPr>
          <w:sz w:val="22"/>
          <w:szCs w:val="22"/>
        </w:rPr>
        <w:t>9</w:t>
      </w:r>
      <w:r w:rsidRPr="002541AA">
        <w:rPr>
          <w:sz w:val="22"/>
          <w:szCs w:val="22"/>
        </w:rPr>
        <w:t>. With regard to the PSMN, the objective related to the increase of institutional birth is considered in a special way. That is the reason why a description of the institutional delivery situation in Peru is detailed next. Diagnosing and reviewing the current state of birth attention is important in order to execute interventions directed to broaden birth institutional attention, and specially, focusing on the poorest population.</w:t>
      </w:r>
    </w:p>
    <w:p w:rsidR="00353ED4" w:rsidRPr="002541AA" w:rsidRDefault="00353ED4" w:rsidP="002541AA">
      <w:pPr>
        <w:ind w:left="567"/>
        <w:jc w:val="both"/>
        <w:rPr>
          <w:rStyle w:val="apple-style-span"/>
          <w:rFonts w:cs="Tahoma"/>
          <w:sz w:val="22"/>
          <w:szCs w:val="22"/>
        </w:rPr>
      </w:pPr>
      <w:r w:rsidRPr="002541AA">
        <w:rPr>
          <w:sz w:val="22"/>
          <w:szCs w:val="22"/>
        </w:rPr>
        <w:t xml:space="preserve">The official figures for institutional deliveries from Peruvian National Statistics Institute (INEI) show an increasing trend of institutional deliveries for the last years (see </w:t>
      </w:r>
      <w:r w:rsidR="00132204">
        <w:fldChar w:fldCharType="begin"/>
      </w:r>
      <w:r w:rsidR="00132204">
        <w:instrText xml:space="preserve"> REF _Ref245841116 \h  \* MERGEFORMAT </w:instrText>
      </w:r>
      <w:r w:rsidR="00132204">
        <w:fldChar w:fldCharType="separate"/>
      </w:r>
      <w:r w:rsidRPr="002541AA">
        <w:rPr>
          <w:sz w:val="22"/>
          <w:szCs w:val="22"/>
        </w:rPr>
        <w:t>Graphic 2</w:t>
      </w:r>
      <w:r w:rsidR="00132204">
        <w:fldChar w:fldCharType="end"/>
      </w:r>
      <w:r w:rsidRPr="002541AA">
        <w:rPr>
          <w:sz w:val="22"/>
          <w:szCs w:val="22"/>
        </w:rPr>
        <w:t>).</w:t>
      </w:r>
    </w:p>
    <w:p w:rsidR="00353ED4" w:rsidRPr="00815FA1" w:rsidRDefault="00353ED4" w:rsidP="00523653">
      <w:pPr>
        <w:jc w:val="center"/>
        <w:rPr>
          <w:b/>
          <w:sz w:val="22"/>
          <w:szCs w:val="22"/>
        </w:rPr>
      </w:pPr>
      <w:bookmarkStart w:id="32" w:name="_Ref245841116"/>
      <w:r w:rsidRPr="00815FA1">
        <w:rPr>
          <w:b/>
          <w:sz w:val="22"/>
          <w:szCs w:val="22"/>
        </w:rPr>
        <w:t xml:space="preserve">Graphic </w:t>
      </w:r>
      <w:bookmarkEnd w:id="32"/>
      <w:r w:rsidRPr="00F964FF">
        <w:rPr>
          <w:b/>
          <w:sz w:val="22"/>
          <w:szCs w:val="22"/>
        </w:rPr>
        <w:fldChar w:fldCharType="begin"/>
      </w:r>
      <w:r w:rsidRPr="00F964FF">
        <w:rPr>
          <w:b/>
          <w:sz w:val="22"/>
          <w:szCs w:val="22"/>
        </w:rPr>
        <w:instrText xml:space="preserve"> SEQ Graphic \* ARABIC </w:instrText>
      </w:r>
      <w:r w:rsidRPr="00F964FF">
        <w:rPr>
          <w:b/>
          <w:sz w:val="22"/>
          <w:szCs w:val="22"/>
        </w:rPr>
        <w:fldChar w:fldCharType="separate"/>
      </w:r>
      <w:r w:rsidRPr="00F964FF">
        <w:rPr>
          <w:b/>
          <w:sz w:val="22"/>
          <w:szCs w:val="22"/>
        </w:rPr>
        <w:t>2</w:t>
      </w:r>
      <w:r w:rsidRPr="00F964FF">
        <w:rPr>
          <w:b/>
          <w:sz w:val="22"/>
          <w:szCs w:val="22"/>
        </w:rPr>
        <w:fldChar w:fldCharType="end"/>
      </w:r>
      <w:r>
        <w:rPr>
          <w:b/>
          <w:sz w:val="22"/>
          <w:szCs w:val="22"/>
        </w:rPr>
        <w:t xml:space="preserve">: </w:t>
      </w:r>
      <w:r w:rsidRPr="00815FA1">
        <w:rPr>
          <w:b/>
          <w:sz w:val="22"/>
          <w:szCs w:val="22"/>
        </w:rPr>
        <w:t xml:space="preserve">Proportion of deliveries in health establishments </w:t>
      </w:r>
    </w:p>
    <w:p w:rsidR="00353ED4" w:rsidRPr="00815FA1" w:rsidRDefault="00132204" w:rsidP="003C3410">
      <w:pPr>
        <w:jc w:val="center"/>
        <w:rPr>
          <w:rStyle w:val="apple-style-span"/>
          <w:rFonts w:cs="Tahoma"/>
          <w:sz w:val="22"/>
          <w:szCs w:val="22"/>
        </w:rPr>
      </w:pPr>
      <w:r>
        <w:rPr>
          <w:noProof/>
          <w:sz w:val="22"/>
          <w:szCs w:val="22"/>
          <w:lang w:val="es-PE" w:eastAsia="es-PE"/>
        </w:rPr>
        <w:drawing>
          <wp:inline distT="0" distB="0" distL="0" distR="0">
            <wp:extent cx="3810000" cy="2295525"/>
            <wp:effectExtent l="0" t="0" r="0" b="9525"/>
            <wp:docPr id="6"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95525"/>
                    </a:xfrm>
                    <a:prstGeom prst="rect">
                      <a:avLst/>
                    </a:prstGeom>
                    <a:noFill/>
                    <a:ln>
                      <a:noFill/>
                    </a:ln>
                  </pic:spPr>
                </pic:pic>
              </a:graphicData>
            </a:graphic>
          </wp:inline>
        </w:drawing>
      </w:r>
    </w:p>
    <w:p w:rsidR="00353ED4" w:rsidRPr="00815FA1" w:rsidRDefault="00353ED4" w:rsidP="003C3410">
      <w:pPr>
        <w:rPr>
          <w:rStyle w:val="apple-style-span"/>
          <w:rFonts w:cs="Tahoma"/>
          <w:sz w:val="22"/>
          <w:szCs w:val="22"/>
        </w:rPr>
      </w:pPr>
      <w:r w:rsidRPr="00815FA1">
        <w:rPr>
          <w:rStyle w:val="apple-style-span"/>
          <w:rFonts w:cs="Tahoma"/>
          <w:sz w:val="22"/>
          <w:szCs w:val="22"/>
        </w:rPr>
        <w:t>Source: INEI-ENDES</w:t>
      </w:r>
    </w:p>
    <w:p w:rsidR="00353ED4" w:rsidRDefault="00353ED4" w:rsidP="0059187C">
      <w:pPr>
        <w:ind w:left="567"/>
        <w:jc w:val="both"/>
        <w:rPr>
          <w:sz w:val="22"/>
          <w:szCs w:val="22"/>
        </w:rPr>
      </w:pPr>
    </w:p>
    <w:p w:rsidR="00353ED4" w:rsidRDefault="00353ED4" w:rsidP="0059187C">
      <w:pPr>
        <w:ind w:left="567"/>
        <w:jc w:val="both"/>
        <w:rPr>
          <w:sz w:val="22"/>
          <w:szCs w:val="22"/>
        </w:rPr>
      </w:pPr>
      <w:r w:rsidRPr="0059187C">
        <w:rPr>
          <w:sz w:val="22"/>
          <w:szCs w:val="22"/>
        </w:rPr>
        <w:t>The latest estimation shows a rate of 80.5% institutional births, which is a significant progress from the 1996 level of less than 50%.</w:t>
      </w:r>
    </w:p>
    <w:p w:rsidR="00353ED4" w:rsidRDefault="00353ED4" w:rsidP="00523653">
      <w:pPr>
        <w:ind w:left="567"/>
        <w:jc w:val="both"/>
        <w:rPr>
          <w:b/>
          <w:sz w:val="22"/>
          <w:szCs w:val="22"/>
        </w:rPr>
      </w:pPr>
      <w:r w:rsidRPr="0059187C">
        <w:rPr>
          <w:sz w:val="22"/>
          <w:szCs w:val="22"/>
        </w:rPr>
        <w:t xml:space="preserve">However, again, there are wide disparities among different places of residence. Table 10 shows the differences among rural and urban households. According to ENDES, while more than 9 of every ten women have an institutionally attended delivery in urban areas, less than half of the women in rural areas have one. </w:t>
      </w:r>
    </w:p>
    <w:p w:rsidR="00353ED4" w:rsidRPr="00815FA1" w:rsidRDefault="00353ED4" w:rsidP="003C3410">
      <w:pPr>
        <w:jc w:val="center"/>
        <w:rPr>
          <w:rStyle w:val="apple-style-span"/>
          <w:rFonts w:cs="Tahoma"/>
          <w:b/>
          <w:sz w:val="22"/>
          <w:szCs w:val="22"/>
        </w:rPr>
      </w:pPr>
      <w:r w:rsidRPr="00815FA1">
        <w:rPr>
          <w:b/>
          <w:sz w:val="22"/>
          <w:szCs w:val="22"/>
        </w:rPr>
        <w:t xml:space="preserve">Table </w:t>
      </w:r>
      <w:r w:rsidRPr="00815FA1">
        <w:rPr>
          <w:b/>
          <w:sz w:val="22"/>
          <w:szCs w:val="22"/>
        </w:rPr>
        <w:fldChar w:fldCharType="begin"/>
      </w:r>
      <w:r w:rsidRPr="00815FA1">
        <w:rPr>
          <w:b/>
          <w:sz w:val="22"/>
          <w:szCs w:val="22"/>
        </w:rPr>
        <w:instrText xml:space="preserve"> SEQ Chart \* ARABIC </w:instrText>
      </w:r>
      <w:r w:rsidRPr="00815FA1">
        <w:rPr>
          <w:b/>
          <w:sz w:val="22"/>
          <w:szCs w:val="22"/>
        </w:rPr>
        <w:fldChar w:fldCharType="separate"/>
      </w:r>
      <w:r>
        <w:rPr>
          <w:b/>
          <w:noProof/>
          <w:sz w:val="22"/>
          <w:szCs w:val="22"/>
        </w:rPr>
        <w:t>10</w:t>
      </w:r>
      <w:r w:rsidRPr="00815FA1">
        <w:rPr>
          <w:b/>
          <w:sz w:val="22"/>
          <w:szCs w:val="22"/>
        </w:rPr>
        <w:fldChar w:fldCharType="end"/>
      </w:r>
      <w:r w:rsidRPr="00815FA1">
        <w:rPr>
          <w:b/>
          <w:sz w:val="22"/>
          <w:szCs w:val="22"/>
        </w:rPr>
        <w:t>: Distribution of the types of delivery by area of residence</w:t>
      </w:r>
      <w:r w:rsidRPr="00815FA1">
        <w:rPr>
          <w:rStyle w:val="Refdenotaalpie"/>
          <w:rFonts w:cs="Tahoma"/>
          <w:b/>
          <w:sz w:val="22"/>
          <w:szCs w:val="22"/>
        </w:rPr>
        <w:footnoteReference w:id="7"/>
      </w:r>
    </w:p>
    <w:tbl>
      <w:tblPr>
        <w:tblW w:w="4100" w:type="dxa"/>
        <w:jc w:val="center"/>
        <w:tblCellMar>
          <w:left w:w="70" w:type="dxa"/>
          <w:right w:w="70" w:type="dxa"/>
        </w:tblCellMar>
        <w:tblLook w:val="00A0" w:firstRow="1" w:lastRow="0" w:firstColumn="1" w:lastColumn="0" w:noHBand="0" w:noVBand="0"/>
      </w:tblPr>
      <w:tblGrid>
        <w:gridCol w:w="2900"/>
        <w:gridCol w:w="1200"/>
      </w:tblGrid>
      <w:tr w:rsidR="00353ED4" w:rsidRPr="00815FA1">
        <w:trPr>
          <w:cantSplit/>
          <w:trHeight w:val="315"/>
          <w:jc w:val="center"/>
        </w:trPr>
        <w:tc>
          <w:tcPr>
            <w:tcW w:w="29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1200" w:type="dxa"/>
            <w:tcBorders>
              <w:top w:val="single" w:sz="8" w:space="0" w:color="auto"/>
              <w:left w:val="single" w:sz="8" w:space="0" w:color="auto"/>
              <w:bottom w:val="single" w:sz="8" w:space="0" w:color="auto"/>
              <w:right w:val="single" w:sz="8" w:space="0" w:color="auto"/>
            </w:tcBorders>
            <w:shd w:val="clear" w:color="auto" w:fill="4BACC6"/>
            <w:noWrap/>
            <w:vAlign w:val="bottom"/>
          </w:tcPr>
          <w:p w:rsidR="00353ED4" w:rsidRPr="00815FA1" w:rsidRDefault="00353ED4" w:rsidP="003C3410">
            <w:pPr>
              <w:spacing w:before="0" w:after="0" w:line="240" w:lineRule="auto"/>
              <w:rPr>
                <w:b/>
                <w:bCs/>
                <w:color w:val="000000"/>
                <w:sz w:val="22"/>
                <w:szCs w:val="22"/>
              </w:rPr>
            </w:pPr>
            <w:r w:rsidRPr="00815FA1">
              <w:rPr>
                <w:b/>
                <w:bCs/>
                <w:color w:val="000000"/>
                <w:sz w:val="22"/>
                <w:szCs w:val="22"/>
              </w:rPr>
              <w:t>ENDES</w:t>
            </w:r>
          </w:p>
        </w:tc>
      </w:tr>
      <w:tr w:rsidR="00353ED4" w:rsidRPr="00815FA1">
        <w:trPr>
          <w:cantSplit/>
          <w:trHeight w:val="300"/>
          <w:jc w:val="center"/>
        </w:trPr>
        <w:tc>
          <w:tcPr>
            <w:tcW w:w="2900" w:type="dxa"/>
            <w:tcBorders>
              <w:top w:val="single" w:sz="8" w:space="0" w:color="auto"/>
              <w:left w:val="single" w:sz="8" w:space="0" w:color="auto"/>
              <w:bottom w:val="nil"/>
              <w:right w:val="single" w:sz="8" w:space="0" w:color="auto"/>
            </w:tcBorders>
            <w:noWrap/>
            <w:vAlign w:val="bottom"/>
          </w:tcPr>
          <w:p w:rsidR="00353ED4" w:rsidRPr="00815FA1" w:rsidRDefault="00353ED4" w:rsidP="003C3410">
            <w:pPr>
              <w:spacing w:before="0" w:after="0" w:line="240" w:lineRule="auto"/>
              <w:rPr>
                <w:bCs/>
                <w:i/>
                <w:iCs/>
                <w:color w:val="000000"/>
                <w:sz w:val="22"/>
                <w:szCs w:val="22"/>
              </w:rPr>
            </w:pPr>
            <w:r w:rsidRPr="00815FA1">
              <w:rPr>
                <w:bCs/>
                <w:i/>
                <w:iCs/>
                <w:color w:val="000000"/>
                <w:sz w:val="22"/>
                <w:szCs w:val="22"/>
              </w:rPr>
              <w:t>Total</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u w:val="single"/>
              </w:rPr>
            </w:pPr>
            <w:r w:rsidRPr="00815FA1">
              <w:rPr>
                <w:color w:val="000000"/>
                <w:sz w:val="22"/>
                <w:szCs w:val="22"/>
                <w:u w:val="single"/>
              </w:rPr>
              <w:t>100%</w:t>
            </w:r>
          </w:p>
        </w:tc>
      </w:tr>
      <w:tr w:rsidR="00353ED4" w:rsidRPr="00815FA1">
        <w:trPr>
          <w:cantSplit/>
          <w:trHeight w:val="300"/>
          <w:jc w:val="center"/>
        </w:trPr>
        <w:tc>
          <w:tcPr>
            <w:tcW w:w="2900" w:type="dxa"/>
            <w:tcBorders>
              <w:top w:val="nil"/>
              <w:left w:val="single" w:sz="8" w:space="0" w:color="auto"/>
              <w:bottom w:val="nil"/>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26.6</w:t>
            </w:r>
          </w:p>
        </w:tc>
      </w:tr>
      <w:tr w:rsidR="00353ED4" w:rsidRPr="00815FA1">
        <w:trPr>
          <w:cantSplit/>
          <w:trHeight w:val="300"/>
          <w:jc w:val="center"/>
        </w:trPr>
        <w:tc>
          <w:tcPr>
            <w:tcW w:w="290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nil"/>
              <w:bottom w:val="single" w:sz="4"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73.5</w:t>
            </w:r>
          </w:p>
        </w:tc>
      </w:tr>
      <w:tr w:rsidR="00353ED4" w:rsidRPr="00815FA1">
        <w:trPr>
          <w:cantSplit/>
          <w:trHeight w:val="300"/>
          <w:jc w:val="center"/>
        </w:trPr>
        <w:tc>
          <w:tcPr>
            <w:tcW w:w="2900" w:type="dxa"/>
            <w:tcBorders>
              <w:top w:val="single" w:sz="4" w:space="0" w:color="auto"/>
              <w:left w:val="single" w:sz="8" w:space="0" w:color="auto"/>
              <w:bottom w:val="nil"/>
              <w:right w:val="single" w:sz="8" w:space="0" w:color="auto"/>
            </w:tcBorders>
            <w:noWrap/>
            <w:vAlign w:val="bottom"/>
          </w:tcPr>
          <w:p w:rsidR="00353ED4" w:rsidRPr="00815FA1" w:rsidRDefault="00353ED4" w:rsidP="003C3410">
            <w:pPr>
              <w:spacing w:before="0" w:after="0" w:line="240" w:lineRule="auto"/>
              <w:rPr>
                <w:i/>
                <w:color w:val="000000"/>
                <w:sz w:val="22"/>
                <w:szCs w:val="22"/>
              </w:rPr>
            </w:pPr>
            <w:r w:rsidRPr="00815FA1">
              <w:rPr>
                <w:i/>
                <w:color w:val="000000"/>
                <w:sz w:val="22"/>
                <w:szCs w:val="22"/>
              </w:rPr>
              <w:t>Urban</w:t>
            </w:r>
          </w:p>
        </w:tc>
        <w:tc>
          <w:tcPr>
            <w:tcW w:w="1200" w:type="dxa"/>
            <w:tcBorders>
              <w:top w:val="single" w:sz="4"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u w:val="single"/>
              </w:rPr>
            </w:pPr>
            <w:r w:rsidRPr="00815FA1">
              <w:rPr>
                <w:color w:val="000000"/>
                <w:sz w:val="22"/>
                <w:szCs w:val="22"/>
                <w:u w:val="single"/>
              </w:rPr>
              <w:t>100%</w:t>
            </w:r>
          </w:p>
        </w:tc>
      </w:tr>
      <w:tr w:rsidR="00353ED4" w:rsidRPr="00815FA1">
        <w:trPr>
          <w:cantSplit/>
          <w:trHeight w:val="300"/>
          <w:jc w:val="center"/>
        </w:trPr>
        <w:tc>
          <w:tcPr>
            <w:tcW w:w="2900" w:type="dxa"/>
            <w:tcBorders>
              <w:top w:val="nil"/>
              <w:left w:val="single" w:sz="8" w:space="0" w:color="auto"/>
              <w:bottom w:val="nil"/>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7.6</w:t>
            </w:r>
          </w:p>
        </w:tc>
      </w:tr>
      <w:tr w:rsidR="00353ED4" w:rsidRPr="00815FA1">
        <w:trPr>
          <w:cantSplit/>
          <w:trHeight w:val="300"/>
          <w:jc w:val="center"/>
        </w:trPr>
        <w:tc>
          <w:tcPr>
            <w:tcW w:w="290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nil"/>
              <w:bottom w:val="single" w:sz="4"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92.4</w:t>
            </w:r>
          </w:p>
        </w:tc>
      </w:tr>
      <w:tr w:rsidR="00353ED4" w:rsidRPr="00815FA1">
        <w:trPr>
          <w:cantSplit/>
          <w:trHeight w:val="300"/>
          <w:jc w:val="center"/>
        </w:trPr>
        <w:tc>
          <w:tcPr>
            <w:tcW w:w="2900" w:type="dxa"/>
            <w:tcBorders>
              <w:top w:val="single" w:sz="4" w:space="0" w:color="auto"/>
              <w:left w:val="single" w:sz="8" w:space="0" w:color="auto"/>
              <w:bottom w:val="nil"/>
              <w:right w:val="single" w:sz="8" w:space="0" w:color="auto"/>
            </w:tcBorders>
            <w:noWrap/>
            <w:vAlign w:val="bottom"/>
          </w:tcPr>
          <w:p w:rsidR="00353ED4" w:rsidRPr="00815FA1" w:rsidRDefault="00353ED4" w:rsidP="003C3410">
            <w:pPr>
              <w:spacing w:before="0" w:after="0" w:line="240" w:lineRule="auto"/>
              <w:rPr>
                <w:bCs/>
                <w:i/>
                <w:iCs/>
                <w:color w:val="000000"/>
                <w:sz w:val="22"/>
                <w:szCs w:val="22"/>
              </w:rPr>
            </w:pPr>
            <w:r w:rsidRPr="00815FA1">
              <w:rPr>
                <w:bCs/>
                <w:i/>
                <w:iCs/>
                <w:color w:val="000000"/>
                <w:sz w:val="22"/>
                <w:szCs w:val="22"/>
              </w:rPr>
              <w:t>Rural</w:t>
            </w:r>
          </w:p>
        </w:tc>
        <w:tc>
          <w:tcPr>
            <w:tcW w:w="1200" w:type="dxa"/>
            <w:tcBorders>
              <w:top w:val="single" w:sz="4"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u w:val="single"/>
              </w:rPr>
            </w:pPr>
            <w:r w:rsidRPr="00815FA1">
              <w:rPr>
                <w:color w:val="000000"/>
                <w:sz w:val="22"/>
                <w:szCs w:val="22"/>
                <w:u w:val="single"/>
              </w:rPr>
              <w:t>100%</w:t>
            </w:r>
          </w:p>
        </w:tc>
      </w:tr>
      <w:tr w:rsidR="00353ED4" w:rsidRPr="00815FA1">
        <w:trPr>
          <w:cantSplit/>
          <w:trHeight w:val="300"/>
          <w:jc w:val="center"/>
        </w:trPr>
        <w:tc>
          <w:tcPr>
            <w:tcW w:w="2900" w:type="dxa"/>
            <w:tcBorders>
              <w:top w:val="nil"/>
              <w:left w:val="single" w:sz="8" w:space="0" w:color="auto"/>
              <w:bottom w:val="nil"/>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51.5</w:t>
            </w:r>
          </w:p>
        </w:tc>
      </w:tr>
      <w:tr w:rsidR="00353ED4" w:rsidRPr="00815FA1">
        <w:trPr>
          <w:cantSplit/>
          <w:trHeight w:val="315"/>
          <w:jc w:val="center"/>
        </w:trPr>
        <w:tc>
          <w:tcPr>
            <w:tcW w:w="2900" w:type="dxa"/>
            <w:tcBorders>
              <w:top w:val="nil"/>
              <w:left w:val="single" w:sz="8" w:space="0" w:color="auto"/>
              <w:bottom w:val="single" w:sz="8"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48.5</w:t>
            </w:r>
          </w:p>
        </w:tc>
      </w:tr>
    </w:tbl>
    <w:p w:rsidR="00353ED4" w:rsidRPr="00815FA1" w:rsidRDefault="00353ED4" w:rsidP="003C3410">
      <w:pPr>
        <w:rPr>
          <w:rStyle w:val="apple-style-span"/>
          <w:rFonts w:cs="Tahoma"/>
          <w:sz w:val="22"/>
          <w:szCs w:val="22"/>
        </w:rPr>
      </w:pPr>
      <w:r w:rsidRPr="00815FA1">
        <w:rPr>
          <w:rStyle w:val="apple-style-span"/>
          <w:rFonts w:cs="Tahoma"/>
          <w:sz w:val="22"/>
          <w:szCs w:val="22"/>
        </w:rPr>
        <w:t>Source: ENDES Continua 2004-2007, ENAHO 2007</w:t>
      </w:r>
    </w:p>
    <w:p w:rsidR="00353ED4" w:rsidRPr="00815FA1" w:rsidRDefault="00353ED4" w:rsidP="0059187C">
      <w:pPr>
        <w:ind w:left="567"/>
        <w:jc w:val="both"/>
        <w:rPr>
          <w:rStyle w:val="apple-style-span"/>
          <w:rFonts w:cs="Tahoma"/>
          <w:sz w:val="22"/>
          <w:szCs w:val="22"/>
        </w:rPr>
      </w:pPr>
      <w:r w:rsidRPr="0059187C">
        <w:rPr>
          <w:sz w:val="22"/>
        </w:rPr>
        <w:t>However, the situation in the rural area has improved compared to year 2000, where, according to ENDES, only 24% of rural deliveries were made at institutional establishments. Nevertheless, still, four to five of every ten women in this zone don’t have and institutional delivery and the urban/rural gap are yet far from being closed.</w:t>
      </w:r>
      <w:r>
        <w:rPr>
          <w:sz w:val="22"/>
        </w:rPr>
        <w:t xml:space="preserve"> </w:t>
      </w:r>
      <w:r w:rsidRPr="00815FA1">
        <w:rPr>
          <w:rStyle w:val="apple-style-span"/>
          <w:rFonts w:cs="Tahoma"/>
          <w:sz w:val="22"/>
          <w:szCs w:val="22"/>
        </w:rPr>
        <w:t>Table 11 differentiates deliveries by the specific place of birth by area of residence.</w:t>
      </w:r>
    </w:p>
    <w:p w:rsidR="00353ED4" w:rsidRPr="00815FA1" w:rsidRDefault="00353ED4" w:rsidP="003C3410">
      <w:pPr>
        <w:jc w:val="center"/>
      </w:pPr>
      <w:r w:rsidRPr="00815FA1">
        <w:rPr>
          <w:b/>
          <w:sz w:val="22"/>
          <w:szCs w:val="22"/>
        </w:rPr>
        <w:t xml:space="preserve">Table </w:t>
      </w:r>
      <w:r w:rsidRPr="00815FA1">
        <w:rPr>
          <w:b/>
          <w:sz w:val="22"/>
          <w:szCs w:val="22"/>
        </w:rPr>
        <w:fldChar w:fldCharType="begin"/>
      </w:r>
      <w:r w:rsidRPr="00815FA1">
        <w:rPr>
          <w:b/>
          <w:sz w:val="22"/>
          <w:szCs w:val="22"/>
        </w:rPr>
        <w:instrText xml:space="preserve"> SEQ Chart \* ARABIC </w:instrText>
      </w:r>
      <w:r w:rsidRPr="00815FA1">
        <w:rPr>
          <w:b/>
          <w:sz w:val="22"/>
          <w:szCs w:val="22"/>
        </w:rPr>
        <w:fldChar w:fldCharType="separate"/>
      </w:r>
      <w:r w:rsidRPr="00815FA1">
        <w:rPr>
          <w:b/>
          <w:noProof/>
          <w:sz w:val="22"/>
          <w:szCs w:val="22"/>
        </w:rPr>
        <w:t>11</w:t>
      </w:r>
      <w:r w:rsidRPr="00815FA1">
        <w:rPr>
          <w:b/>
          <w:sz w:val="22"/>
          <w:szCs w:val="22"/>
        </w:rPr>
        <w:fldChar w:fldCharType="end"/>
      </w:r>
      <w:r w:rsidRPr="00815FA1">
        <w:rPr>
          <w:b/>
          <w:sz w:val="22"/>
          <w:szCs w:val="22"/>
        </w:rPr>
        <w:t>: Deliveries by place of birth and by place of residence</w:t>
      </w:r>
    </w:p>
    <w:tbl>
      <w:tblPr>
        <w:tblW w:w="5686" w:type="dxa"/>
        <w:jc w:val="center"/>
        <w:tblCellMar>
          <w:left w:w="70" w:type="dxa"/>
          <w:right w:w="70" w:type="dxa"/>
        </w:tblCellMar>
        <w:tblLook w:val="00A0" w:firstRow="1" w:lastRow="0" w:firstColumn="1" w:lastColumn="0" w:noHBand="0" w:noVBand="0"/>
      </w:tblPr>
      <w:tblGrid>
        <w:gridCol w:w="2901"/>
        <w:gridCol w:w="1132"/>
        <w:gridCol w:w="803"/>
        <w:gridCol w:w="850"/>
      </w:tblGrid>
      <w:tr w:rsidR="00353ED4" w:rsidRPr="00815FA1">
        <w:trPr>
          <w:trHeight w:val="315"/>
          <w:jc w:val="center"/>
        </w:trPr>
        <w:tc>
          <w:tcPr>
            <w:tcW w:w="290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2785" w:type="dxa"/>
            <w:gridSpan w:val="3"/>
            <w:tcBorders>
              <w:top w:val="single" w:sz="8" w:space="0" w:color="auto"/>
              <w:left w:val="single" w:sz="8" w:space="0" w:color="auto"/>
              <w:bottom w:val="nil"/>
              <w:right w:val="single" w:sz="8" w:space="0" w:color="000000"/>
            </w:tcBorders>
            <w:shd w:val="clear" w:color="auto" w:fill="4BACC6"/>
            <w:noWrap/>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ENDES</w:t>
            </w:r>
          </w:p>
        </w:tc>
      </w:tr>
      <w:tr w:rsidR="00353ED4" w:rsidRPr="00815FA1">
        <w:trPr>
          <w:trHeight w:val="315"/>
          <w:jc w:val="center"/>
        </w:trPr>
        <w:tc>
          <w:tcPr>
            <w:tcW w:w="2901"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1132" w:type="dxa"/>
            <w:tcBorders>
              <w:top w:val="single" w:sz="8" w:space="0" w:color="auto"/>
              <w:left w:val="single" w:sz="8" w:space="0" w:color="auto"/>
              <w:bottom w:val="single" w:sz="8" w:space="0" w:color="auto"/>
              <w:right w:val="nil"/>
            </w:tcBorders>
            <w:shd w:val="clear" w:color="auto" w:fill="B6DDE8"/>
            <w:noWrap/>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Total</w:t>
            </w:r>
          </w:p>
        </w:tc>
        <w:tc>
          <w:tcPr>
            <w:tcW w:w="803" w:type="dxa"/>
            <w:tcBorders>
              <w:top w:val="single" w:sz="8" w:space="0" w:color="auto"/>
              <w:left w:val="nil"/>
              <w:bottom w:val="single" w:sz="8" w:space="0" w:color="auto"/>
              <w:right w:val="nil"/>
            </w:tcBorders>
            <w:shd w:val="clear" w:color="auto" w:fill="B6DDE8"/>
            <w:noWrap/>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Urban</w:t>
            </w:r>
          </w:p>
        </w:tc>
        <w:tc>
          <w:tcPr>
            <w:tcW w:w="850" w:type="dxa"/>
            <w:tcBorders>
              <w:top w:val="single" w:sz="8" w:space="0" w:color="auto"/>
              <w:left w:val="nil"/>
              <w:bottom w:val="single" w:sz="8" w:space="0" w:color="auto"/>
              <w:right w:val="single" w:sz="8" w:space="0" w:color="auto"/>
            </w:tcBorders>
            <w:shd w:val="clear" w:color="auto" w:fill="B6DDE8"/>
            <w:noWrap/>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Rural</w:t>
            </w:r>
          </w:p>
        </w:tc>
      </w:tr>
      <w:tr w:rsidR="00353ED4" w:rsidRPr="00815FA1">
        <w:trPr>
          <w:trHeight w:val="300"/>
          <w:jc w:val="center"/>
        </w:trPr>
        <w:tc>
          <w:tcPr>
            <w:tcW w:w="2901" w:type="dxa"/>
            <w:tcBorders>
              <w:top w:val="single" w:sz="8" w:space="0" w:color="auto"/>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Hospital MINSA</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35.0</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46.3</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20.2</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Hospital Essalud</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9.8</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14.8</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3.3</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Hospital FFAA/PNP</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0.8</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1.5</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0.0</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Health Center MINSA</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13.8</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13.9</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13.7</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Health Post MINSA</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5.6</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3.1</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8.9</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Center/Post CLAS</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Center/Post Essalud</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1.4</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2.3</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0.3</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Private Practice</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7.0</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10.7</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2.2</w:t>
            </w:r>
          </w:p>
        </w:tc>
      </w:tr>
      <w:tr w:rsidR="00353ED4" w:rsidRPr="00815FA1">
        <w:trPr>
          <w:trHeight w:val="300"/>
          <w:jc w:val="center"/>
        </w:trPr>
        <w:tc>
          <w:tcPr>
            <w:tcW w:w="2901" w:type="dxa"/>
            <w:tcBorders>
              <w:top w:val="nil"/>
              <w:left w:val="single" w:sz="8" w:space="0" w:color="auto"/>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Respondent or Midwife's Home</w:t>
            </w:r>
          </w:p>
        </w:tc>
        <w:tc>
          <w:tcPr>
            <w:tcW w:w="1132"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25.7</w:t>
            </w:r>
          </w:p>
        </w:tc>
        <w:tc>
          <w:tcPr>
            <w:tcW w:w="803"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7.0</w:t>
            </w:r>
          </w:p>
        </w:tc>
        <w:tc>
          <w:tcPr>
            <w:tcW w:w="850" w:type="dxa"/>
            <w:tcBorders>
              <w:top w:val="nil"/>
              <w:left w:val="nil"/>
              <w:bottom w:val="nil"/>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50.2</w:t>
            </w:r>
          </w:p>
        </w:tc>
      </w:tr>
      <w:tr w:rsidR="00353ED4" w:rsidRPr="00815FA1">
        <w:trPr>
          <w:trHeight w:val="315"/>
          <w:jc w:val="center"/>
        </w:trPr>
        <w:tc>
          <w:tcPr>
            <w:tcW w:w="2901" w:type="dxa"/>
            <w:tcBorders>
              <w:top w:val="nil"/>
              <w:left w:val="single" w:sz="8" w:space="0" w:color="auto"/>
              <w:bottom w:val="single" w:sz="4" w:space="0" w:color="auto"/>
              <w:right w:val="single" w:sz="4"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Other</w:t>
            </w:r>
          </w:p>
        </w:tc>
        <w:tc>
          <w:tcPr>
            <w:tcW w:w="1132" w:type="dxa"/>
            <w:tcBorders>
              <w:top w:val="nil"/>
              <w:left w:val="single" w:sz="4" w:space="0" w:color="auto"/>
              <w:bottom w:val="single" w:sz="4" w:space="0" w:color="auto"/>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0.9</w:t>
            </w:r>
          </w:p>
        </w:tc>
        <w:tc>
          <w:tcPr>
            <w:tcW w:w="803" w:type="dxa"/>
            <w:tcBorders>
              <w:top w:val="nil"/>
              <w:left w:val="nil"/>
              <w:bottom w:val="single" w:sz="4" w:space="0" w:color="auto"/>
              <w:right w:val="nil"/>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0.6</w:t>
            </w:r>
          </w:p>
        </w:tc>
        <w:tc>
          <w:tcPr>
            <w:tcW w:w="850" w:type="dxa"/>
            <w:tcBorders>
              <w:top w:val="nil"/>
              <w:left w:val="nil"/>
              <w:bottom w:val="single" w:sz="4" w:space="0" w:color="auto"/>
              <w:right w:val="single" w:sz="8" w:space="0" w:color="auto"/>
            </w:tcBorders>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1.3</w:t>
            </w:r>
          </w:p>
        </w:tc>
      </w:tr>
      <w:tr w:rsidR="00353ED4" w:rsidRPr="00815FA1">
        <w:trPr>
          <w:trHeight w:val="315"/>
          <w:jc w:val="center"/>
        </w:trPr>
        <w:tc>
          <w:tcPr>
            <w:tcW w:w="2901" w:type="dxa"/>
            <w:tcBorders>
              <w:top w:val="single" w:sz="4" w:space="0" w:color="auto"/>
              <w:left w:val="single" w:sz="4" w:space="0" w:color="auto"/>
              <w:bottom w:val="single" w:sz="8" w:space="0" w:color="auto"/>
              <w:right w:val="nil"/>
            </w:tcBorders>
            <w:noWrap/>
            <w:vAlign w:val="bottom"/>
          </w:tcPr>
          <w:p w:rsidR="00353ED4" w:rsidRPr="00815FA1" w:rsidRDefault="00353ED4" w:rsidP="003C3410">
            <w:pPr>
              <w:spacing w:before="0" w:after="0" w:line="240" w:lineRule="auto"/>
              <w:rPr>
                <w:b/>
                <w:color w:val="000000"/>
                <w:sz w:val="22"/>
                <w:szCs w:val="22"/>
              </w:rPr>
            </w:pPr>
            <w:r w:rsidRPr="00815FA1">
              <w:rPr>
                <w:b/>
                <w:color w:val="000000"/>
                <w:sz w:val="22"/>
                <w:szCs w:val="22"/>
              </w:rPr>
              <w:t>TOTAL</w:t>
            </w:r>
          </w:p>
        </w:tc>
        <w:tc>
          <w:tcPr>
            <w:tcW w:w="1132" w:type="dxa"/>
            <w:tcBorders>
              <w:top w:val="single" w:sz="4" w:space="0" w:color="auto"/>
              <w:left w:val="single" w:sz="4" w:space="0" w:color="auto"/>
              <w:bottom w:val="single" w:sz="8" w:space="0" w:color="auto"/>
              <w:right w:val="nil"/>
            </w:tcBorders>
            <w:vAlign w:val="bottom"/>
          </w:tcPr>
          <w:p w:rsidR="00353ED4" w:rsidRPr="00815FA1" w:rsidRDefault="00353ED4" w:rsidP="003C3410">
            <w:pPr>
              <w:spacing w:before="0" w:after="0" w:line="240" w:lineRule="auto"/>
              <w:rPr>
                <w:b/>
                <w:color w:val="000000"/>
                <w:sz w:val="22"/>
                <w:szCs w:val="22"/>
              </w:rPr>
            </w:pPr>
            <w:r w:rsidRPr="00815FA1">
              <w:rPr>
                <w:b/>
                <w:color w:val="000000"/>
                <w:sz w:val="22"/>
                <w:szCs w:val="22"/>
              </w:rPr>
              <w:t>100%</w:t>
            </w:r>
          </w:p>
        </w:tc>
        <w:tc>
          <w:tcPr>
            <w:tcW w:w="803" w:type="dxa"/>
            <w:tcBorders>
              <w:top w:val="single" w:sz="4" w:space="0" w:color="auto"/>
              <w:left w:val="nil"/>
              <w:bottom w:val="single" w:sz="8" w:space="0" w:color="auto"/>
              <w:right w:val="nil"/>
            </w:tcBorders>
            <w:noWrap/>
            <w:vAlign w:val="bottom"/>
          </w:tcPr>
          <w:p w:rsidR="00353ED4" w:rsidRPr="00815FA1" w:rsidRDefault="00353ED4" w:rsidP="003C3410">
            <w:pPr>
              <w:spacing w:before="0" w:after="0" w:line="240" w:lineRule="auto"/>
              <w:rPr>
                <w:b/>
                <w:color w:val="000000"/>
                <w:sz w:val="22"/>
                <w:szCs w:val="22"/>
              </w:rPr>
            </w:pPr>
            <w:r w:rsidRPr="00815FA1">
              <w:rPr>
                <w:b/>
                <w:color w:val="000000"/>
                <w:sz w:val="22"/>
                <w:szCs w:val="22"/>
              </w:rPr>
              <w:t>100%</w:t>
            </w:r>
          </w:p>
        </w:tc>
        <w:tc>
          <w:tcPr>
            <w:tcW w:w="850" w:type="dxa"/>
            <w:tcBorders>
              <w:top w:val="single" w:sz="4" w:space="0" w:color="auto"/>
              <w:left w:val="nil"/>
              <w:bottom w:val="single" w:sz="8" w:space="0" w:color="auto"/>
              <w:right w:val="single" w:sz="8" w:space="0" w:color="auto"/>
            </w:tcBorders>
            <w:noWrap/>
            <w:vAlign w:val="bottom"/>
          </w:tcPr>
          <w:p w:rsidR="00353ED4" w:rsidRPr="00815FA1" w:rsidRDefault="00353ED4" w:rsidP="003C3410">
            <w:pPr>
              <w:spacing w:before="0" w:after="0" w:line="240" w:lineRule="auto"/>
              <w:rPr>
                <w:b/>
                <w:color w:val="000000"/>
                <w:sz w:val="22"/>
                <w:szCs w:val="22"/>
              </w:rPr>
            </w:pPr>
            <w:r w:rsidRPr="00815FA1">
              <w:rPr>
                <w:b/>
                <w:color w:val="000000"/>
                <w:sz w:val="22"/>
                <w:szCs w:val="22"/>
              </w:rPr>
              <w:t>100%</w:t>
            </w:r>
          </w:p>
        </w:tc>
      </w:tr>
    </w:tbl>
    <w:p w:rsidR="00353ED4" w:rsidRPr="00815FA1" w:rsidRDefault="00353ED4" w:rsidP="003C3410">
      <w:pPr>
        <w:rPr>
          <w:rStyle w:val="apple-style-span"/>
          <w:rFonts w:cs="Tahoma"/>
          <w:sz w:val="22"/>
          <w:szCs w:val="22"/>
        </w:rPr>
      </w:pPr>
      <w:r w:rsidRPr="00815FA1">
        <w:rPr>
          <w:rStyle w:val="apple-style-span"/>
          <w:rFonts w:cs="Tahoma"/>
          <w:sz w:val="22"/>
          <w:szCs w:val="22"/>
        </w:rPr>
        <w:t>Source: ENDES Continua 2004-2007.</w:t>
      </w:r>
    </w:p>
    <w:p w:rsidR="00353ED4" w:rsidRPr="0059187C" w:rsidRDefault="00353ED4" w:rsidP="0059187C">
      <w:pPr>
        <w:ind w:left="567"/>
        <w:jc w:val="both"/>
        <w:rPr>
          <w:sz w:val="22"/>
        </w:rPr>
      </w:pPr>
      <w:r w:rsidRPr="0059187C">
        <w:rPr>
          <w:sz w:val="22"/>
        </w:rPr>
        <w:t>According to ENDES 2004-2007, 35 women of every 100 deliver their children in MINSA hospitals; the second most important place is, however, women or midwife’s homes, where 25 of every 100 women give birth. This fact implies a high risk for women and their babies because of complications not attended by professional staff in an adequate environment. Notice also that 6 of every 100 women give birth in MINSA´s health posts establishments which, catalogued by MINSA, are incapable to attend this type of interventions because of their low level of complexity and low capacity of resolution.</w:t>
      </w:r>
    </w:p>
    <w:p w:rsidR="00353ED4" w:rsidRPr="0059187C" w:rsidRDefault="00353ED4" w:rsidP="0059187C">
      <w:pPr>
        <w:ind w:left="567"/>
        <w:jc w:val="both"/>
        <w:rPr>
          <w:sz w:val="22"/>
        </w:rPr>
      </w:pPr>
      <w:r w:rsidRPr="0059187C">
        <w:rPr>
          <w:sz w:val="22"/>
        </w:rPr>
        <w:t xml:space="preserve">Differentiating according to places of delivery by area of residence, Table 11 also shows that almost half of the women living in urban zones give birth in MINSA’s hospitals and only 7% do it in their own homes. The situation is completely different for rural areas, where only </w:t>
      </w:r>
      <w:r>
        <w:rPr>
          <w:sz w:val="22"/>
        </w:rPr>
        <w:t>20% of</w:t>
      </w:r>
      <w:r w:rsidRPr="0059187C">
        <w:rPr>
          <w:sz w:val="22"/>
        </w:rPr>
        <w:t xml:space="preserve"> women give birth in MINSA’s hospitals and half of them do so in their own homes. Another relevant difference is the attention in health posts: one out of every ten women in rural areas attends to health posts for their deliveries, three times more than women in urban areas. </w:t>
      </w:r>
    </w:p>
    <w:p w:rsidR="00353ED4" w:rsidRPr="0059187C" w:rsidRDefault="00353ED4" w:rsidP="0059187C">
      <w:pPr>
        <w:ind w:left="567"/>
        <w:jc w:val="both"/>
        <w:rPr>
          <w:sz w:val="22"/>
        </w:rPr>
      </w:pPr>
      <w:r w:rsidRPr="0059187C">
        <w:rPr>
          <w:sz w:val="22"/>
        </w:rPr>
        <w:t>The delivery establishment is useful as a proxy to quality of attention received in institutional deliveries. Assuming that the best place to give birth at is a hospital, and the worst, your own house or other place, then urban household not only have more access to delivery health services, but also they have better access in terms of quality than rural households.</w:t>
      </w:r>
    </w:p>
    <w:p w:rsidR="00353ED4" w:rsidRPr="0059187C" w:rsidRDefault="00353ED4" w:rsidP="0059187C">
      <w:pPr>
        <w:ind w:left="567"/>
        <w:jc w:val="both"/>
        <w:rPr>
          <w:sz w:val="22"/>
        </w:rPr>
      </w:pPr>
      <w:r w:rsidRPr="0059187C">
        <w:rPr>
          <w:sz w:val="22"/>
        </w:rPr>
        <w:t>Another proxy to quality is the caregiver capability to lead the delivery. Doctors and obstetricians are the first in the ranking, followed by nurses, health specialists (sanitary), traditional birth attendants and the rest of possible caregivers, including health auxiliary personnel, technicians, friends or family, among others.</w:t>
      </w:r>
      <w:r w:rsidRPr="0059187C">
        <w:rPr>
          <w:sz w:val="22"/>
          <w:vertAlign w:val="superscript"/>
        </w:rPr>
        <w:footnoteReference w:id="8"/>
      </w:r>
    </w:p>
    <w:p w:rsidR="00353ED4" w:rsidRDefault="00353ED4" w:rsidP="003C3410">
      <w:pPr>
        <w:jc w:val="center"/>
        <w:rPr>
          <w:b/>
          <w:sz w:val="22"/>
          <w:szCs w:val="22"/>
        </w:rPr>
      </w:pPr>
    </w:p>
    <w:p w:rsidR="00353ED4" w:rsidRDefault="00353ED4" w:rsidP="003C3410">
      <w:pPr>
        <w:jc w:val="center"/>
        <w:rPr>
          <w:b/>
          <w:sz w:val="22"/>
          <w:szCs w:val="22"/>
        </w:rPr>
      </w:pPr>
    </w:p>
    <w:p w:rsidR="00353ED4" w:rsidRDefault="00353ED4" w:rsidP="003C3410">
      <w:pPr>
        <w:jc w:val="center"/>
        <w:rPr>
          <w:b/>
          <w:sz w:val="22"/>
          <w:szCs w:val="22"/>
        </w:rPr>
      </w:pPr>
    </w:p>
    <w:p w:rsidR="00353ED4" w:rsidRPr="00815FA1" w:rsidRDefault="00353ED4" w:rsidP="003C3410">
      <w:pPr>
        <w:jc w:val="center"/>
      </w:pPr>
      <w:r w:rsidRPr="00815FA1">
        <w:rPr>
          <w:b/>
          <w:sz w:val="22"/>
          <w:szCs w:val="22"/>
        </w:rPr>
        <w:t xml:space="preserve">Table </w:t>
      </w:r>
      <w:r w:rsidRPr="00815FA1">
        <w:rPr>
          <w:b/>
          <w:sz w:val="22"/>
          <w:szCs w:val="22"/>
        </w:rPr>
        <w:fldChar w:fldCharType="begin"/>
      </w:r>
      <w:r w:rsidRPr="00815FA1">
        <w:rPr>
          <w:b/>
          <w:sz w:val="22"/>
          <w:szCs w:val="22"/>
        </w:rPr>
        <w:instrText xml:space="preserve"> SEQ Chart \* ARABIC </w:instrText>
      </w:r>
      <w:r w:rsidRPr="00815FA1">
        <w:rPr>
          <w:b/>
          <w:sz w:val="22"/>
          <w:szCs w:val="22"/>
        </w:rPr>
        <w:fldChar w:fldCharType="separate"/>
      </w:r>
      <w:r w:rsidRPr="00815FA1">
        <w:rPr>
          <w:b/>
          <w:noProof/>
          <w:sz w:val="22"/>
          <w:szCs w:val="22"/>
        </w:rPr>
        <w:t>12</w:t>
      </w:r>
      <w:r w:rsidRPr="00815FA1">
        <w:rPr>
          <w:b/>
          <w:sz w:val="22"/>
          <w:szCs w:val="22"/>
        </w:rPr>
        <w:fldChar w:fldCharType="end"/>
      </w:r>
      <w:r w:rsidRPr="00815FA1">
        <w:rPr>
          <w:b/>
          <w:sz w:val="22"/>
          <w:szCs w:val="22"/>
        </w:rPr>
        <w:t>: Type of delivery by caregiver distribution</w:t>
      </w:r>
    </w:p>
    <w:tbl>
      <w:tblPr>
        <w:tblW w:w="9938" w:type="dxa"/>
        <w:jc w:val="center"/>
        <w:tblCellMar>
          <w:left w:w="70" w:type="dxa"/>
          <w:right w:w="70" w:type="dxa"/>
        </w:tblCellMar>
        <w:tblLook w:val="00A0" w:firstRow="1" w:lastRow="0" w:firstColumn="1" w:lastColumn="0" w:noHBand="0" w:noVBand="0"/>
      </w:tblPr>
      <w:tblGrid>
        <w:gridCol w:w="870"/>
        <w:gridCol w:w="1223"/>
        <w:gridCol w:w="869"/>
        <w:gridCol w:w="762"/>
        <w:gridCol w:w="1263"/>
        <w:gridCol w:w="746"/>
        <w:gridCol w:w="1000"/>
        <w:gridCol w:w="1138"/>
        <w:gridCol w:w="869"/>
        <w:gridCol w:w="745"/>
        <w:gridCol w:w="607"/>
      </w:tblGrid>
      <w:tr w:rsidR="00353ED4" w:rsidRPr="00815FA1">
        <w:trPr>
          <w:trHeight w:val="789"/>
          <w:jc w:val="center"/>
        </w:trPr>
        <w:tc>
          <w:tcPr>
            <w:tcW w:w="87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1118"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869"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745" w:type="dxa"/>
            <w:tcBorders>
              <w:top w:val="single" w:sz="8" w:space="0" w:color="auto"/>
              <w:left w:val="single" w:sz="8" w:space="0" w:color="auto"/>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Doctor</w:t>
            </w:r>
          </w:p>
        </w:tc>
        <w:tc>
          <w:tcPr>
            <w:tcW w:w="1118"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Obstetrician</w:t>
            </w:r>
          </w:p>
        </w:tc>
        <w:tc>
          <w:tcPr>
            <w:tcW w:w="746"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Nurse</w:t>
            </w:r>
          </w:p>
        </w:tc>
        <w:tc>
          <w:tcPr>
            <w:tcW w:w="994"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Health Specialist</w:t>
            </w:r>
          </w:p>
        </w:tc>
        <w:tc>
          <w:tcPr>
            <w:tcW w:w="994"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Traditional Birth attendant</w:t>
            </w:r>
          </w:p>
        </w:tc>
        <w:tc>
          <w:tcPr>
            <w:tcW w:w="869"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Other</w:t>
            </w:r>
          </w:p>
        </w:tc>
        <w:tc>
          <w:tcPr>
            <w:tcW w:w="745"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No one</w:t>
            </w:r>
          </w:p>
        </w:tc>
        <w:tc>
          <w:tcPr>
            <w:tcW w:w="870" w:type="dxa"/>
            <w:tcBorders>
              <w:top w:val="single" w:sz="8" w:space="0" w:color="auto"/>
              <w:left w:val="nil"/>
              <w:bottom w:val="nil"/>
              <w:right w:val="single" w:sz="8" w:space="0" w:color="auto"/>
            </w:tcBorders>
            <w:shd w:val="clear" w:color="auto" w:fill="4BACC6"/>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Total</w:t>
            </w:r>
          </w:p>
        </w:tc>
      </w:tr>
      <w:tr w:rsidR="00353ED4" w:rsidRPr="00815FA1">
        <w:trPr>
          <w:trHeight w:val="316"/>
          <w:jc w:val="center"/>
        </w:trPr>
        <w:tc>
          <w:tcPr>
            <w:tcW w:w="870" w:type="dxa"/>
            <w:vMerge w:val="restart"/>
            <w:tcBorders>
              <w:top w:val="single" w:sz="8" w:space="0" w:color="auto"/>
              <w:left w:val="single" w:sz="8" w:space="0" w:color="auto"/>
              <w:bottom w:val="single" w:sz="8" w:space="0" w:color="000000"/>
              <w:right w:val="single" w:sz="8" w:space="0" w:color="auto"/>
            </w:tcBorders>
            <w:shd w:val="clear" w:color="auto" w:fill="B6DDE8"/>
            <w:noWrap/>
            <w:vAlign w:val="center"/>
          </w:tcPr>
          <w:p w:rsidR="00353ED4" w:rsidRPr="00815FA1" w:rsidRDefault="00353ED4" w:rsidP="003C3410">
            <w:pPr>
              <w:spacing w:before="0" w:after="0" w:line="240" w:lineRule="auto"/>
              <w:rPr>
                <w:bCs/>
                <w:color w:val="000000"/>
                <w:sz w:val="22"/>
                <w:szCs w:val="22"/>
              </w:rPr>
            </w:pPr>
            <w:r w:rsidRPr="00815FA1">
              <w:rPr>
                <w:bCs/>
                <w:color w:val="000000"/>
                <w:sz w:val="22"/>
                <w:szCs w:val="22"/>
              </w:rPr>
              <w:t>ENDES</w:t>
            </w:r>
          </w:p>
        </w:tc>
        <w:tc>
          <w:tcPr>
            <w:tcW w:w="1118" w:type="dxa"/>
            <w:vMerge w:val="restart"/>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Non Institutional Delivery</w:t>
            </w:r>
          </w:p>
        </w:tc>
        <w:tc>
          <w:tcPr>
            <w:tcW w:w="869" w:type="dxa"/>
            <w:tcBorders>
              <w:top w:val="single" w:sz="8" w:space="0" w:color="auto"/>
              <w:left w:val="nil"/>
              <w:bottom w:val="nil"/>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Total</w:t>
            </w:r>
          </w:p>
        </w:tc>
        <w:tc>
          <w:tcPr>
            <w:tcW w:w="745"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3.7</w:t>
            </w:r>
          </w:p>
        </w:tc>
        <w:tc>
          <w:tcPr>
            <w:tcW w:w="1118"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4.8</w:t>
            </w:r>
          </w:p>
        </w:tc>
        <w:tc>
          <w:tcPr>
            <w:tcW w:w="746"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4.6</w:t>
            </w:r>
          </w:p>
        </w:tc>
        <w:tc>
          <w:tcPr>
            <w:tcW w:w="994"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0.4</w:t>
            </w:r>
          </w:p>
        </w:tc>
        <w:tc>
          <w:tcPr>
            <w:tcW w:w="994"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45.9</w:t>
            </w:r>
          </w:p>
        </w:tc>
        <w:tc>
          <w:tcPr>
            <w:tcW w:w="869"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39</w:t>
            </w:r>
          </w:p>
        </w:tc>
        <w:tc>
          <w:tcPr>
            <w:tcW w:w="745" w:type="dxa"/>
            <w:tcBorders>
              <w:top w:val="single" w:sz="8" w:space="0" w:color="auto"/>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1.7</w:t>
            </w:r>
          </w:p>
        </w:tc>
        <w:tc>
          <w:tcPr>
            <w:tcW w:w="870" w:type="dxa"/>
            <w:tcBorders>
              <w:top w:val="single" w:sz="8" w:space="0" w:color="auto"/>
              <w:left w:val="nil"/>
              <w:bottom w:val="nil"/>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r w:rsidR="00353ED4" w:rsidRPr="00815FA1">
        <w:trPr>
          <w:trHeight w:val="316"/>
          <w:jc w:val="center"/>
        </w:trPr>
        <w:tc>
          <w:tcPr>
            <w:tcW w:w="870"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bCs/>
                <w:color w:val="000000"/>
                <w:sz w:val="22"/>
                <w:szCs w:val="22"/>
              </w:rPr>
            </w:pPr>
          </w:p>
        </w:tc>
        <w:tc>
          <w:tcPr>
            <w:tcW w:w="1118"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jc w:val="center"/>
              <w:rPr>
                <w:color w:val="000000"/>
                <w:sz w:val="22"/>
                <w:szCs w:val="22"/>
              </w:rPr>
            </w:pPr>
          </w:p>
        </w:tc>
        <w:tc>
          <w:tcPr>
            <w:tcW w:w="869" w:type="dxa"/>
            <w:tcBorders>
              <w:top w:val="nil"/>
              <w:left w:val="nil"/>
              <w:bottom w:val="nil"/>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Urban</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7.55</w:t>
            </w:r>
          </w:p>
        </w:tc>
        <w:tc>
          <w:tcPr>
            <w:tcW w:w="1118"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8.35</w:t>
            </w:r>
          </w:p>
        </w:tc>
        <w:tc>
          <w:tcPr>
            <w:tcW w:w="746"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3.21</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1.51</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47.6</w:t>
            </w:r>
          </w:p>
        </w:tc>
        <w:tc>
          <w:tcPr>
            <w:tcW w:w="869"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30.25</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1.54</w:t>
            </w:r>
          </w:p>
        </w:tc>
        <w:tc>
          <w:tcPr>
            <w:tcW w:w="870" w:type="dxa"/>
            <w:tcBorders>
              <w:top w:val="nil"/>
              <w:left w:val="nil"/>
              <w:bottom w:val="nil"/>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r w:rsidR="00353ED4" w:rsidRPr="00815FA1">
        <w:trPr>
          <w:trHeight w:val="331"/>
          <w:jc w:val="center"/>
        </w:trPr>
        <w:tc>
          <w:tcPr>
            <w:tcW w:w="870"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bCs/>
                <w:color w:val="000000"/>
                <w:sz w:val="22"/>
                <w:szCs w:val="22"/>
              </w:rPr>
            </w:pPr>
          </w:p>
        </w:tc>
        <w:tc>
          <w:tcPr>
            <w:tcW w:w="1118"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jc w:val="center"/>
              <w:rPr>
                <w:color w:val="000000"/>
                <w:sz w:val="22"/>
                <w:szCs w:val="22"/>
              </w:rPr>
            </w:pPr>
          </w:p>
        </w:tc>
        <w:tc>
          <w:tcPr>
            <w:tcW w:w="869" w:type="dxa"/>
            <w:tcBorders>
              <w:top w:val="nil"/>
              <w:left w:val="nil"/>
              <w:bottom w:val="single" w:sz="8" w:space="0" w:color="auto"/>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Rural</w:t>
            </w:r>
          </w:p>
        </w:tc>
        <w:tc>
          <w:tcPr>
            <w:tcW w:w="745"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2.92</w:t>
            </w:r>
          </w:p>
        </w:tc>
        <w:tc>
          <w:tcPr>
            <w:tcW w:w="1118"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4.15</w:t>
            </w:r>
          </w:p>
        </w:tc>
        <w:tc>
          <w:tcPr>
            <w:tcW w:w="746"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4.88</w:t>
            </w:r>
          </w:p>
        </w:tc>
        <w:tc>
          <w:tcPr>
            <w:tcW w:w="994"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0.18</w:t>
            </w:r>
          </w:p>
        </w:tc>
        <w:tc>
          <w:tcPr>
            <w:tcW w:w="994"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45.56</w:t>
            </w:r>
          </w:p>
        </w:tc>
        <w:tc>
          <w:tcPr>
            <w:tcW w:w="869"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40.63</w:t>
            </w:r>
          </w:p>
        </w:tc>
        <w:tc>
          <w:tcPr>
            <w:tcW w:w="745"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1.69</w:t>
            </w:r>
          </w:p>
        </w:tc>
        <w:tc>
          <w:tcPr>
            <w:tcW w:w="870" w:type="dxa"/>
            <w:tcBorders>
              <w:top w:val="nil"/>
              <w:left w:val="nil"/>
              <w:bottom w:val="single" w:sz="8" w:space="0" w:color="auto"/>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r w:rsidR="00353ED4" w:rsidRPr="00815FA1">
        <w:trPr>
          <w:trHeight w:val="316"/>
          <w:jc w:val="center"/>
        </w:trPr>
        <w:tc>
          <w:tcPr>
            <w:tcW w:w="870"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bCs/>
                <w:color w:val="000000"/>
                <w:sz w:val="22"/>
                <w:szCs w:val="22"/>
              </w:rPr>
            </w:pPr>
          </w:p>
        </w:tc>
        <w:tc>
          <w:tcPr>
            <w:tcW w:w="1118" w:type="dxa"/>
            <w:vMerge w:val="restart"/>
            <w:tcBorders>
              <w:top w:val="nil"/>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Institutional Delivery</w:t>
            </w:r>
          </w:p>
        </w:tc>
        <w:tc>
          <w:tcPr>
            <w:tcW w:w="869" w:type="dxa"/>
            <w:tcBorders>
              <w:top w:val="nil"/>
              <w:left w:val="nil"/>
              <w:bottom w:val="nil"/>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Total</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61.2</w:t>
            </w:r>
          </w:p>
        </w:tc>
        <w:tc>
          <w:tcPr>
            <w:tcW w:w="1118"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35.6</w:t>
            </w:r>
          </w:p>
        </w:tc>
        <w:tc>
          <w:tcPr>
            <w:tcW w:w="746"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2.3</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0.1</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w:t>
            </w:r>
          </w:p>
        </w:tc>
        <w:tc>
          <w:tcPr>
            <w:tcW w:w="869"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0.8</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w:t>
            </w:r>
          </w:p>
        </w:tc>
        <w:tc>
          <w:tcPr>
            <w:tcW w:w="870" w:type="dxa"/>
            <w:tcBorders>
              <w:top w:val="nil"/>
              <w:left w:val="nil"/>
              <w:bottom w:val="nil"/>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r w:rsidR="00353ED4" w:rsidRPr="00815FA1">
        <w:trPr>
          <w:trHeight w:val="316"/>
          <w:jc w:val="center"/>
        </w:trPr>
        <w:tc>
          <w:tcPr>
            <w:tcW w:w="870"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bCs/>
                <w:color w:val="000000"/>
                <w:sz w:val="22"/>
                <w:szCs w:val="22"/>
              </w:rPr>
            </w:pPr>
          </w:p>
        </w:tc>
        <w:tc>
          <w:tcPr>
            <w:tcW w:w="1118" w:type="dxa"/>
            <w:vMerge/>
            <w:tcBorders>
              <w:top w:val="nil"/>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color w:val="000000"/>
                <w:sz w:val="22"/>
                <w:szCs w:val="22"/>
              </w:rPr>
            </w:pPr>
          </w:p>
        </w:tc>
        <w:tc>
          <w:tcPr>
            <w:tcW w:w="869" w:type="dxa"/>
            <w:tcBorders>
              <w:top w:val="nil"/>
              <w:left w:val="nil"/>
              <w:bottom w:val="nil"/>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Urban</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66.2</w:t>
            </w:r>
          </w:p>
        </w:tc>
        <w:tc>
          <w:tcPr>
            <w:tcW w:w="1118"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32.7</w:t>
            </w:r>
          </w:p>
        </w:tc>
        <w:tc>
          <w:tcPr>
            <w:tcW w:w="746"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0.9</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0.02</w:t>
            </w:r>
          </w:p>
        </w:tc>
        <w:tc>
          <w:tcPr>
            <w:tcW w:w="994"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w:t>
            </w:r>
          </w:p>
        </w:tc>
        <w:tc>
          <w:tcPr>
            <w:tcW w:w="869"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0.2</w:t>
            </w:r>
          </w:p>
        </w:tc>
        <w:tc>
          <w:tcPr>
            <w:tcW w:w="745" w:type="dxa"/>
            <w:tcBorders>
              <w:top w:val="nil"/>
              <w:left w:val="nil"/>
              <w:bottom w:val="nil"/>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w:t>
            </w:r>
          </w:p>
        </w:tc>
        <w:tc>
          <w:tcPr>
            <w:tcW w:w="870" w:type="dxa"/>
            <w:tcBorders>
              <w:top w:val="nil"/>
              <w:left w:val="nil"/>
              <w:bottom w:val="nil"/>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r w:rsidR="00353ED4" w:rsidRPr="00815FA1">
        <w:trPr>
          <w:trHeight w:val="331"/>
          <w:jc w:val="center"/>
        </w:trPr>
        <w:tc>
          <w:tcPr>
            <w:tcW w:w="870" w:type="dxa"/>
            <w:vMerge/>
            <w:tcBorders>
              <w:top w:val="single" w:sz="8" w:space="0" w:color="auto"/>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bCs/>
                <w:color w:val="000000"/>
                <w:sz w:val="22"/>
                <w:szCs w:val="22"/>
              </w:rPr>
            </w:pPr>
          </w:p>
        </w:tc>
        <w:tc>
          <w:tcPr>
            <w:tcW w:w="1118" w:type="dxa"/>
            <w:vMerge/>
            <w:tcBorders>
              <w:top w:val="nil"/>
              <w:left w:val="single" w:sz="8" w:space="0" w:color="auto"/>
              <w:bottom w:val="single" w:sz="8" w:space="0" w:color="000000"/>
              <w:right w:val="single" w:sz="8" w:space="0" w:color="auto"/>
            </w:tcBorders>
            <w:shd w:val="clear" w:color="auto" w:fill="B6DDE8"/>
            <w:vAlign w:val="center"/>
          </w:tcPr>
          <w:p w:rsidR="00353ED4" w:rsidRPr="00815FA1" w:rsidRDefault="00353ED4" w:rsidP="003C3410">
            <w:pPr>
              <w:spacing w:before="0" w:after="0" w:line="240" w:lineRule="auto"/>
              <w:rPr>
                <w:color w:val="000000"/>
                <w:sz w:val="22"/>
                <w:szCs w:val="22"/>
              </w:rPr>
            </w:pPr>
          </w:p>
        </w:tc>
        <w:tc>
          <w:tcPr>
            <w:tcW w:w="869" w:type="dxa"/>
            <w:tcBorders>
              <w:top w:val="nil"/>
              <w:left w:val="nil"/>
              <w:bottom w:val="single" w:sz="8" w:space="0" w:color="auto"/>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Rural</w:t>
            </w:r>
          </w:p>
        </w:tc>
        <w:tc>
          <w:tcPr>
            <w:tcW w:w="745"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48.6</w:t>
            </w:r>
          </w:p>
        </w:tc>
        <w:tc>
          <w:tcPr>
            <w:tcW w:w="1118"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43</w:t>
            </w:r>
          </w:p>
        </w:tc>
        <w:tc>
          <w:tcPr>
            <w:tcW w:w="746"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w:t>
            </w:r>
          </w:p>
        </w:tc>
        <w:tc>
          <w:tcPr>
            <w:tcW w:w="994"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0.2</w:t>
            </w:r>
          </w:p>
        </w:tc>
        <w:tc>
          <w:tcPr>
            <w:tcW w:w="994"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0.1</w:t>
            </w:r>
          </w:p>
        </w:tc>
        <w:tc>
          <w:tcPr>
            <w:tcW w:w="869"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2.1</w:t>
            </w:r>
          </w:p>
        </w:tc>
        <w:tc>
          <w:tcPr>
            <w:tcW w:w="745" w:type="dxa"/>
            <w:tcBorders>
              <w:top w:val="nil"/>
              <w:left w:val="nil"/>
              <w:bottom w:val="single" w:sz="8" w:space="0" w:color="auto"/>
              <w:right w:val="single" w:sz="8" w:space="0" w:color="auto"/>
            </w:tcBorders>
            <w:noWrap/>
            <w:vAlign w:val="bottom"/>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w:t>
            </w:r>
          </w:p>
        </w:tc>
        <w:tc>
          <w:tcPr>
            <w:tcW w:w="870" w:type="dxa"/>
            <w:tcBorders>
              <w:top w:val="nil"/>
              <w:left w:val="nil"/>
              <w:bottom w:val="single" w:sz="8" w:space="0" w:color="auto"/>
              <w:right w:val="single" w:sz="8" w:space="0" w:color="auto"/>
            </w:tcBorders>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bl>
    <w:p w:rsidR="00353ED4" w:rsidRPr="00815FA1" w:rsidRDefault="00353ED4" w:rsidP="003C3410">
      <w:pPr>
        <w:rPr>
          <w:rStyle w:val="apple-style-span"/>
          <w:rFonts w:cs="Tahoma"/>
          <w:sz w:val="22"/>
          <w:szCs w:val="22"/>
        </w:rPr>
      </w:pPr>
      <w:r w:rsidRPr="00815FA1">
        <w:rPr>
          <w:rStyle w:val="apple-style-span"/>
          <w:rFonts w:cs="Tahoma"/>
          <w:sz w:val="22"/>
          <w:szCs w:val="22"/>
        </w:rPr>
        <w:t>Source: ENDES Continua 2004-2007</w:t>
      </w:r>
    </w:p>
    <w:p w:rsidR="00353ED4" w:rsidRPr="0059187C" w:rsidRDefault="00353ED4" w:rsidP="0059187C">
      <w:pPr>
        <w:ind w:left="567"/>
        <w:jc w:val="both"/>
        <w:rPr>
          <w:sz w:val="22"/>
        </w:rPr>
      </w:pPr>
      <w:r w:rsidRPr="0059187C">
        <w:rPr>
          <w:sz w:val="22"/>
        </w:rPr>
        <w:t>Table 12 shows an expected higher participation of doctors and obstetricians for institutional deliveries. The importance of the category “others” is quite relevant among non institutional deliveries; even though there is nothing certain about the level of skills and type of care caregivers in the “others” category</w:t>
      </w:r>
      <w:r w:rsidRPr="0059187C">
        <w:rPr>
          <w:sz w:val="22"/>
          <w:vertAlign w:val="superscript"/>
        </w:rPr>
        <w:footnoteReference w:id="9"/>
      </w:r>
      <w:r w:rsidRPr="0059187C">
        <w:rPr>
          <w:sz w:val="22"/>
        </w:rPr>
        <w:t>.</w:t>
      </w:r>
    </w:p>
    <w:p w:rsidR="00353ED4" w:rsidRPr="0059187C" w:rsidRDefault="00353ED4" w:rsidP="0059187C">
      <w:pPr>
        <w:ind w:left="567"/>
        <w:jc w:val="both"/>
        <w:rPr>
          <w:sz w:val="22"/>
        </w:rPr>
      </w:pPr>
      <w:r w:rsidRPr="0059187C">
        <w:rPr>
          <w:sz w:val="22"/>
        </w:rPr>
        <w:t>Table 12 shows that even when the delivery is institutional, rural women are more likely to be attended by a nurse or a health specialist, rather than a doctor or an obstetrician. If the delivery is non institutional, the proportions are similar but urban women are more likely to be attended by a doctor or obstetrician (twice than rural women), while the “others” category is greater for rural women.</w:t>
      </w:r>
    </w:p>
    <w:p w:rsidR="00353ED4" w:rsidRPr="0059187C" w:rsidRDefault="00353ED4" w:rsidP="0064113F">
      <w:pPr>
        <w:ind w:left="567"/>
        <w:jc w:val="both"/>
        <w:rPr>
          <w:sz w:val="22"/>
        </w:rPr>
      </w:pPr>
      <w:r w:rsidRPr="0059187C">
        <w:rPr>
          <w:sz w:val="22"/>
        </w:rPr>
        <w:t>Tables 13 to 1</w:t>
      </w:r>
      <w:r>
        <w:rPr>
          <w:sz w:val="22"/>
        </w:rPr>
        <w:t>5</w:t>
      </w:r>
      <w:r w:rsidRPr="0059187C">
        <w:rPr>
          <w:sz w:val="22"/>
        </w:rPr>
        <w:t xml:space="preserve"> sum up the situation of delive</w:t>
      </w:r>
      <w:r>
        <w:rPr>
          <w:sz w:val="22"/>
        </w:rPr>
        <w:t>ry among three features: mother`</w:t>
      </w:r>
      <w:r w:rsidRPr="0059187C">
        <w:rPr>
          <w:sz w:val="22"/>
        </w:rPr>
        <w:t>s highest completed level of education, mother tongue</w:t>
      </w:r>
      <w:r>
        <w:rPr>
          <w:sz w:val="22"/>
        </w:rPr>
        <w:t>, and</w:t>
      </w:r>
      <w:r w:rsidRPr="0059187C">
        <w:rPr>
          <w:sz w:val="22"/>
        </w:rPr>
        <w:t xml:space="preserve"> household’s wealth quintile</w:t>
      </w:r>
      <w:r>
        <w:rPr>
          <w:sz w:val="22"/>
        </w:rPr>
        <w:t xml:space="preserve">. </w:t>
      </w:r>
    </w:p>
    <w:p w:rsidR="00353ED4" w:rsidRPr="00815FA1" w:rsidRDefault="00353ED4" w:rsidP="00F642D6">
      <w:pPr>
        <w:pStyle w:val="Ttulo4"/>
        <w:rPr>
          <w:rStyle w:val="apple-style-span"/>
          <w:rFonts w:cs="Tahoma"/>
        </w:rPr>
      </w:pPr>
      <w:bookmarkStart w:id="33" w:name="_Toc247676658"/>
      <w:bookmarkStart w:id="34" w:name="_Toc247678222"/>
      <w:bookmarkStart w:id="35" w:name="_Toc247884573"/>
      <w:r w:rsidRPr="00815FA1">
        <w:rPr>
          <w:rStyle w:val="apple-style-span"/>
          <w:rFonts w:cs="Tahoma"/>
        </w:rPr>
        <w:t>Educative level</w:t>
      </w:r>
      <w:bookmarkEnd w:id="33"/>
      <w:bookmarkEnd w:id="34"/>
      <w:bookmarkEnd w:id="35"/>
    </w:p>
    <w:p w:rsidR="00353ED4" w:rsidRPr="00815FA1" w:rsidRDefault="00353ED4" w:rsidP="003C3410">
      <w:pPr>
        <w:jc w:val="center"/>
        <w:rPr>
          <w:b/>
          <w:sz w:val="22"/>
          <w:szCs w:val="22"/>
        </w:rPr>
      </w:pPr>
    </w:p>
    <w:p w:rsidR="00353ED4" w:rsidRPr="00815FA1" w:rsidRDefault="00353ED4" w:rsidP="003C3410">
      <w:pPr>
        <w:jc w:val="center"/>
      </w:pPr>
      <w:r w:rsidRPr="00815FA1">
        <w:rPr>
          <w:b/>
          <w:sz w:val="22"/>
          <w:szCs w:val="22"/>
        </w:rPr>
        <w:t xml:space="preserve">Table </w:t>
      </w:r>
      <w:r w:rsidRPr="00815FA1">
        <w:rPr>
          <w:b/>
          <w:sz w:val="22"/>
          <w:szCs w:val="22"/>
        </w:rPr>
        <w:fldChar w:fldCharType="begin"/>
      </w:r>
      <w:r w:rsidRPr="00815FA1">
        <w:rPr>
          <w:b/>
          <w:sz w:val="22"/>
          <w:szCs w:val="22"/>
        </w:rPr>
        <w:instrText xml:space="preserve"> SEQ Chart \* ARABIC </w:instrText>
      </w:r>
      <w:r w:rsidRPr="00815FA1">
        <w:rPr>
          <w:b/>
          <w:sz w:val="22"/>
          <w:szCs w:val="22"/>
        </w:rPr>
        <w:fldChar w:fldCharType="separate"/>
      </w:r>
      <w:r w:rsidRPr="00815FA1">
        <w:rPr>
          <w:b/>
          <w:noProof/>
          <w:sz w:val="22"/>
          <w:szCs w:val="22"/>
        </w:rPr>
        <w:t>13</w:t>
      </w:r>
      <w:r w:rsidRPr="00815FA1">
        <w:rPr>
          <w:b/>
          <w:sz w:val="22"/>
          <w:szCs w:val="22"/>
        </w:rPr>
        <w:fldChar w:fldCharType="end"/>
      </w:r>
      <w:r w:rsidRPr="00815FA1">
        <w:rPr>
          <w:b/>
          <w:sz w:val="22"/>
          <w:szCs w:val="22"/>
        </w:rPr>
        <w:t>: Type of delivery by women's highest completed level of education</w:t>
      </w:r>
    </w:p>
    <w:tbl>
      <w:tblPr>
        <w:tblW w:w="6398" w:type="dxa"/>
        <w:jc w:val="center"/>
        <w:tblCellMar>
          <w:left w:w="70" w:type="dxa"/>
          <w:right w:w="70" w:type="dxa"/>
        </w:tblCellMar>
        <w:tblLook w:val="00A0" w:firstRow="1" w:lastRow="0" w:firstColumn="1" w:lastColumn="0" w:noHBand="0" w:noVBand="0"/>
      </w:tblPr>
      <w:tblGrid>
        <w:gridCol w:w="1508"/>
        <w:gridCol w:w="763"/>
        <w:gridCol w:w="884"/>
        <w:gridCol w:w="798"/>
        <w:gridCol w:w="763"/>
        <w:gridCol w:w="884"/>
        <w:gridCol w:w="798"/>
      </w:tblGrid>
      <w:tr w:rsidR="00353ED4" w:rsidRPr="00815FA1">
        <w:trPr>
          <w:trHeight w:val="435"/>
          <w:jc w:val="center"/>
        </w:trPr>
        <w:tc>
          <w:tcPr>
            <w:tcW w:w="1508" w:type="dxa"/>
            <w:tcBorders>
              <w:top w:val="nil"/>
              <w:left w:val="nil"/>
              <w:right w:val="nil"/>
            </w:tcBorders>
            <w:noWrap/>
            <w:vAlign w:val="center"/>
          </w:tcPr>
          <w:p w:rsidR="00353ED4" w:rsidRPr="00815FA1" w:rsidRDefault="00353ED4" w:rsidP="003C3410">
            <w:pPr>
              <w:spacing w:before="0" w:after="0" w:line="240" w:lineRule="auto"/>
              <w:rPr>
                <w:color w:val="000000"/>
                <w:sz w:val="22"/>
                <w:szCs w:val="22"/>
              </w:rPr>
            </w:pPr>
          </w:p>
        </w:tc>
        <w:tc>
          <w:tcPr>
            <w:tcW w:w="2445" w:type="dxa"/>
            <w:gridSpan w:val="3"/>
            <w:tcBorders>
              <w:top w:val="nil"/>
              <w:left w:val="single" w:sz="8" w:space="0" w:color="auto"/>
              <w:bottom w:val="single" w:sz="4" w:space="0" w:color="auto"/>
              <w:right w:val="nil"/>
            </w:tcBorders>
            <w:shd w:val="clear" w:color="auto" w:fill="4BACC6"/>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2445" w:type="dxa"/>
            <w:gridSpan w:val="3"/>
            <w:tcBorders>
              <w:top w:val="single" w:sz="8" w:space="0" w:color="auto"/>
              <w:left w:val="single" w:sz="8" w:space="0" w:color="auto"/>
              <w:bottom w:val="single" w:sz="4" w:space="0" w:color="auto"/>
              <w:right w:val="double" w:sz="6" w:space="0" w:color="000000"/>
            </w:tcBorders>
            <w:shd w:val="clear" w:color="auto" w:fill="4BACC6"/>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r>
      <w:tr w:rsidR="00353ED4" w:rsidRPr="00815FA1">
        <w:trPr>
          <w:trHeight w:val="417"/>
          <w:jc w:val="center"/>
        </w:trPr>
        <w:tc>
          <w:tcPr>
            <w:tcW w:w="1508" w:type="dxa"/>
            <w:tcBorders>
              <w:top w:val="nil"/>
              <w:left w:val="nil"/>
              <w:bottom w:val="nil"/>
              <w:right w:val="nil"/>
            </w:tcBorders>
            <w:noWrap/>
            <w:vAlign w:val="center"/>
          </w:tcPr>
          <w:p w:rsidR="00353ED4" w:rsidRPr="00815FA1" w:rsidRDefault="00353ED4" w:rsidP="003C3410">
            <w:pPr>
              <w:spacing w:before="0" w:after="0" w:line="240" w:lineRule="auto"/>
              <w:rPr>
                <w:color w:val="000000"/>
                <w:sz w:val="22"/>
                <w:szCs w:val="22"/>
              </w:rPr>
            </w:pPr>
          </w:p>
        </w:tc>
        <w:tc>
          <w:tcPr>
            <w:tcW w:w="763" w:type="dxa"/>
            <w:tcBorders>
              <w:top w:val="single" w:sz="4" w:space="0" w:color="auto"/>
              <w:left w:val="single" w:sz="8" w:space="0" w:color="auto"/>
              <w:bottom w:val="nil"/>
              <w:right w:val="nil"/>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Total</w:t>
            </w:r>
          </w:p>
        </w:tc>
        <w:tc>
          <w:tcPr>
            <w:tcW w:w="884" w:type="dxa"/>
            <w:tcBorders>
              <w:top w:val="single" w:sz="4" w:space="0" w:color="auto"/>
              <w:left w:val="nil"/>
              <w:bottom w:val="nil"/>
              <w:right w:val="nil"/>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Urban</w:t>
            </w:r>
          </w:p>
        </w:tc>
        <w:tc>
          <w:tcPr>
            <w:tcW w:w="798" w:type="dxa"/>
            <w:tcBorders>
              <w:top w:val="single" w:sz="4" w:space="0" w:color="auto"/>
              <w:left w:val="nil"/>
              <w:bottom w:val="nil"/>
              <w:right w:val="nil"/>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Rural</w:t>
            </w:r>
          </w:p>
        </w:tc>
        <w:tc>
          <w:tcPr>
            <w:tcW w:w="763" w:type="dxa"/>
            <w:tcBorders>
              <w:top w:val="single" w:sz="4" w:space="0" w:color="auto"/>
              <w:left w:val="single" w:sz="8" w:space="0" w:color="auto"/>
              <w:bottom w:val="single" w:sz="8" w:space="0" w:color="auto"/>
              <w:right w:val="nil"/>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Total</w:t>
            </w:r>
          </w:p>
        </w:tc>
        <w:tc>
          <w:tcPr>
            <w:tcW w:w="884" w:type="dxa"/>
            <w:tcBorders>
              <w:top w:val="single" w:sz="4" w:space="0" w:color="auto"/>
              <w:left w:val="nil"/>
              <w:bottom w:val="single" w:sz="8" w:space="0" w:color="auto"/>
              <w:right w:val="nil"/>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Urban</w:t>
            </w:r>
          </w:p>
        </w:tc>
        <w:tc>
          <w:tcPr>
            <w:tcW w:w="798" w:type="dxa"/>
            <w:tcBorders>
              <w:top w:val="single" w:sz="4" w:space="0" w:color="auto"/>
              <w:left w:val="nil"/>
              <w:bottom w:val="single" w:sz="8" w:space="0" w:color="auto"/>
              <w:right w:val="double" w:sz="6" w:space="0" w:color="auto"/>
            </w:tcBorders>
            <w:shd w:val="clear" w:color="auto" w:fill="B6DDE8"/>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Rural</w:t>
            </w:r>
          </w:p>
        </w:tc>
      </w:tr>
      <w:tr w:rsidR="00353ED4" w:rsidRPr="00815FA1">
        <w:trPr>
          <w:trHeight w:val="794"/>
          <w:jc w:val="center"/>
        </w:trPr>
        <w:tc>
          <w:tcPr>
            <w:tcW w:w="1508" w:type="dxa"/>
            <w:tcBorders>
              <w:top w:val="single" w:sz="4" w:space="0" w:color="auto"/>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No education, Preschool</w:t>
            </w:r>
          </w:p>
        </w:tc>
        <w:tc>
          <w:tcPr>
            <w:tcW w:w="763" w:type="dxa"/>
            <w:tcBorders>
              <w:top w:val="single" w:sz="4" w:space="0" w:color="auto"/>
              <w:left w:val="single" w:sz="8" w:space="0" w:color="auto"/>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50.9</w:t>
            </w:r>
          </w:p>
        </w:tc>
        <w:tc>
          <w:tcPr>
            <w:tcW w:w="884" w:type="dxa"/>
            <w:tcBorders>
              <w:top w:val="single" w:sz="4" w:space="0" w:color="auto"/>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30.8</w:t>
            </w:r>
          </w:p>
        </w:tc>
        <w:tc>
          <w:tcPr>
            <w:tcW w:w="798" w:type="dxa"/>
            <w:tcBorders>
              <w:top w:val="single" w:sz="4" w:space="0" w:color="auto"/>
              <w:left w:val="nil"/>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54.8</w:t>
            </w:r>
          </w:p>
        </w:tc>
        <w:tc>
          <w:tcPr>
            <w:tcW w:w="763" w:type="dxa"/>
            <w:tcBorders>
              <w:top w:val="single" w:sz="4" w:space="0" w:color="auto"/>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15.8</w:t>
            </w:r>
          </w:p>
        </w:tc>
        <w:tc>
          <w:tcPr>
            <w:tcW w:w="884" w:type="dxa"/>
            <w:tcBorders>
              <w:top w:val="single" w:sz="4" w:space="0" w:color="auto"/>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8.4</w:t>
            </w:r>
          </w:p>
        </w:tc>
        <w:tc>
          <w:tcPr>
            <w:tcW w:w="798" w:type="dxa"/>
            <w:tcBorders>
              <w:top w:val="single" w:sz="4" w:space="0" w:color="auto"/>
              <w:left w:val="nil"/>
              <w:bottom w:val="nil"/>
              <w:right w:val="double" w:sz="6"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34.3</w:t>
            </w:r>
          </w:p>
        </w:tc>
      </w:tr>
      <w:tr w:rsidR="00353ED4" w:rsidRPr="00815FA1">
        <w:trPr>
          <w:trHeight w:val="397"/>
          <w:jc w:val="center"/>
        </w:trPr>
        <w:tc>
          <w:tcPr>
            <w:tcW w:w="1508" w:type="dxa"/>
            <w:tcBorders>
              <w:top w:val="nil"/>
              <w:left w:val="single" w:sz="8" w:space="0" w:color="auto"/>
              <w:bottom w:val="nil"/>
              <w:right w:val="nil"/>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Primary</w:t>
            </w:r>
          </w:p>
        </w:tc>
        <w:tc>
          <w:tcPr>
            <w:tcW w:w="763" w:type="dxa"/>
            <w:tcBorders>
              <w:top w:val="nil"/>
              <w:left w:val="single" w:sz="8" w:space="0" w:color="auto"/>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38.1</w:t>
            </w:r>
          </w:p>
        </w:tc>
        <w:tc>
          <w:tcPr>
            <w:tcW w:w="884"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42.0</w:t>
            </w:r>
          </w:p>
        </w:tc>
        <w:tc>
          <w:tcPr>
            <w:tcW w:w="798" w:type="dxa"/>
            <w:tcBorders>
              <w:top w:val="nil"/>
              <w:left w:val="nil"/>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37.4</w:t>
            </w:r>
          </w:p>
        </w:tc>
        <w:tc>
          <w:tcPr>
            <w:tcW w:w="763"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27.6</w:t>
            </w:r>
          </w:p>
        </w:tc>
        <w:tc>
          <w:tcPr>
            <w:tcW w:w="884"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23.4</w:t>
            </w:r>
          </w:p>
        </w:tc>
        <w:tc>
          <w:tcPr>
            <w:tcW w:w="798" w:type="dxa"/>
            <w:tcBorders>
              <w:top w:val="nil"/>
              <w:left w:val="nil"/>
              <w:bottom w:val="nil"/>
              <w:right w:val="double" w:sz="6"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38.3</w:t>
            </w:r>
          </w:p>
        </w:tc>
      </w:tr>
      <w:tr w:rsidR="00353ED4" w:rsidRPr="00815FA1">
        <w:trPr>
          <w:trHeight w:val="397"/>
          <w:jc w:val="center"/>
        </w:trPr>
        <w:tc>
          <w:tcPr>
            <w:tcW w:w="1508" w:type="dxa"/>
            <w:tcBorders>
              <w:top w:val="nil"/>
              <w:left w:val="single" w:sz="8" w:space="0" w:color="auto"/>
              <w:bottom w:val="nil"/>
              <w:right w:val="nil"/>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Secondary</w:t>
            </w:r>
          </w:p>
        </w:tc>
        <w:tc>
          <w:tcPr>
            <w:tcW w:w="763" w:type="dxa"/>
            <w:tcBorders>
              <w:top w:val="nil"/>
              <w:left w:val="single" w:sz="8" w:space="0" w:color="auto"/>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8.7</w:t>
            </w:r>
          </w:p>
        </w:tc>
        <w:tc>
          <w:tcPr>
            <w:tcW w:w="884"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18.0</w:t>
            </w:r>
          </w:p>
        </w:tc>
        <w:tc>
          <w:tcPr>
            <w:tcW w:w="798" w:type="dxa"/>
            <w:tcBorders>
              <w:top w:val="nil"/>
              <w:left w:val="nil"/>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6.9</w:t>
            </w:r>
          </w:p>
        </w:tc>
        <w:tc>
          <w:tcPr>
            <w:tcW w:w="763"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29.3</w:t>
            </w:r>
          </w:p>
        </w:tc>
        <w:tc>
          <w:tcPr>
            <w:tcW w:w="884" w:type="dxa"/>
            <w:tcBorders>
              <w:top w:val="nil"/>
              <w:left w:val="nil"/>
              <w:bottom w:val="nil"/>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33.3</w:t>
            </w:r>
          </w:p>
        </w:tc>
        <w:tc>
          <w:tcPr>
            <w:tcW w:w="798" w:type="dxa"/>
            <w:tcBorders>
              <w:top w:val="nil"/>
              <w:left w:val="nil"/>
              <w:bottom w:val="nil"/>
              <w:right w:val="double" w:sz="6"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19.4</w:t>
            </w:r>
          </w:p>
        </w:tc>
      </w:tr>
      <w:tr w:rsidR="00353ED4" w:rsidRPr="00815FA1">
        <w:trPr>
          <w:trHeight w:val="397"/>
          <w:jc w:val="center"/>
        </w:trPr>
        <w:tc>
          <w:tcPr>
            <w:tcW w:w="1508" w:type="dxa"/>
            <w:tcBorders>
              <w:top w:val="nil"/>
              <w:left w:val="single" w:sz="8" w:space="0" w:color="auto"/>
              <w:bottom w:val="single" w:sz="4" w:space="0" w:color="auto"/>
              <w:right w:val="nil"/>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Higher</w:t>
            </w:r>
          </w:p>
        </w:tc>
        <w:tc>
          <w:tcPr>
            <w:tcW w:w="763" w:type="dxa"/>
            <w:tcBorders>
              <w:top w:val="nil"/>
              <w:left w:val="single" w:sz="8" w:space="0" w:color="auto"/>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2.3</w:t>
            </w:r>
          </w:p>
        </w:tc>
        <w:tc>
          <w:tcPr>
            <w:tcW w:w="884"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9.2</w:t>
            </w:r>
          </w:p>
        </w:tc>
        <w:tc>
          <w:tcPr>
            <w:tcW w:w="798" w:type="dxa"/>
            <w:tcBorders>
              <w:top w:val="nil"/>
              <w:left w:val="nil"/>
              <w:bottom w:val="single" w:sz="4" w:space="0" w:color="auto"/>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0.9</w:t>
            </w:r>
          </w:p>
        </w:tc>
        <w:tc>
          <w:tcPr>
            <w:tcW w:w="763"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27.3</w:t>
            </w:r>
          </w:p>
        </w:tc>
        <w:tc>
          <w:tcPr>
            <w:tcW w:w="884"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35.0</w:t>
            </w:r>
          </w:p>
        </w:tc>
        <w:tc>
          <w:tcPr>
            <w:tcW w:w="798" w:type="dxa"/>
            <w:tcBorders>
              <w:top w:val="nil"/>
              <w:left w:val="nil"/>
              <w:bottom w:val="single" w:sz="4" w:space="0" w:color="auto"/>
              <w:right w:val="double" w:sz="6"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8.0</w:t>
            </w:r>
          </w:p>
        </w:tc>
      </w:tr>
      <w:tr w:rsidR="00353ED4" w:rsidRPr="00815FA1">
        <w:trPr>
          <w:trHeight w:val="397"/>
          <w:jc w:val="center"/>
        </w:trPr>
        <w:tc>
          <w:tcPr>
            <w:tcW w:w="1508" w:type="dxa"/>
            <w:tcBorders>
              <w:top w:val="nil"/>
              <w:bottom w:val="nil"/>
              <w:right w:val="nil"/>
            </w:tcBorders>
            <w:noWrap/>
            <w:vAlign w:val="center"/>
          </w:tcPr>
          <w:p w:rsidR="00353ED4" w:rsidRPr="00815FA1" w:rsidRDefault="00353ED4" w:rsidP="003C3410">
            <w:pPr>
              <w:spacing w:before="0" w:after="0" w:line="240" w:lineRule="auto"/>
              <w:rPr>
                <w:color w:val="000000"/>
                <w:sz w:val="22"/>
                <w:szCs w:val="22"/>
              </w:rPr>
            </w:pPr>
          </w:p>
        </w:tc>
        <w:tc>
          <w:tcPr>
            <w:tcW w:w="763" w:type="dxa"/>
            <w:tcBorders>
              <w:top w:val="nil"/>
              <w:left w:val="single" w:sz="8" w:space="0" w:color="auto"/>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c>
          <w:tcPr>
            <w:tcW w:w="884"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c>
          <w:tcPr>
            <w:tcW w:w="798" w:type="dxa"/>
            <w:tcBorders>
              <w:top w:val="nil"/>
              <w:left w:val="nil"/>
              <w:bottom w:val="single" w:sz="4" w:space="0" w:color="auto"/>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c>
          <w:tcPr>
            <w:tcW w:w="763"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c>
          <w:tcPr>
            <w:tcW w:w="884" w:type="dxa"/>
            <w:tcBorders>
              <w:top w:val="nil"/>
              <w:left w:val="nil"/>
              <w:bottom w:val="single" w:sz="4" w:space="0" w:color="auto"/>
              <w:right w:val="nil"/>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c>
          <w:tcPr>
            <w:tcW w:w="798" w:type="dxa"/>
            <w:tcBorders>
              <w:top w:val="nil"/>
              <w:left w:val="nil"/>
              <w:bottom w:val="single" w:sz="4" w:space="0" w:color="auto"/>
              <w:right w:val="double" w:sz="6"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w:t>
            </w:r>
          </w:p>
        </w:tc>
      </w:tr>
    </w:tbl>
    <w:p w:rsidR="00353ED4" w:rsidRPr="00815FA1" w:rsidRDefault="00353ED4" w:rsidP="003C3410">
      <w:pPr>
        <w:ind w:firstLine="708"/>
        <w:rPr>
          <w:rStyle w:val="apple-style-span"/>
          <w:rFonts w:cs="Tahoma"/>
          <w:sz w:val="22"/>
          <w:szCs w:val="22"/>
        </w:rPr>
      </w:pPr>
      <w:r w:rsidRPr="00815FA1">
        <w:rPr>
          <w:rStyle w:val="apple-style-span"/>
          <w:rFonts w:cs="Tahoma"/>
          <w:sz w:val="22"/>
          <w:szCs w:val="22"/>
        </w:rPr>
        <w:t xml:space="preserve">Source: ENDES Continua 2004-2007 </w:t>
      </w:r>
    </w:p>
    <w:p w:rsidR="00353ED4" w:rsidRPr="00547EE1" w:rsidRDefault="00353ED4" w:rsidP="00547EE1">
      <w:pPr>
        <w:ind w:left="567"/>
        <w:jc w:val="both"/>
        <w:rPr>
          <w:sz w:val="22"/>
        </w:rPr>
      </w:pPr>
      <w:r w:rsidRPr="00547EE1">
        <w:rPr>
          <w:sz w:val="22"/>
        </w:rPr>
        <w:t>Most of women giving birth in an institutional facility have completed secondary or superior education (57% of institutional deliveries), while 51% of women giving birth in non institutional places have no education at all, according to ENDES. This shows a clear correlation between educative level and type of delivery, where, the more educated the woman, the more likely she is to have an institutional delivery.</w:t>
      </w:r>
    </w:p>
    <w:p w:rsidR="00353ED4" w:rsidRPr="00815FA1" w:rsidRDefault="00353ED4" w:rsidP="00F642D6">
      <w:pPr>
        <w:pStyle w:val="Ttulo4"/>
        <w:rPr>
          <w:rStyle w:val="apple-style-span"/>
          <w:rFonts w:cs="Tahoma"/>
        </w:rPr>
      </w:pPr>
      <w:bookmarkStart w:id="36" w:name="_Toc247676659"/>
      <w:bookmarkStart w:id="37" w:name="_Toc247678223"/>
      <w:bookmarkStart w:id="38" w:name="_Toc247884574"/>
      <w:r w:rsidRPr="00815FA1">
        <w:rPr>
          <w:rStyle w:val="apple-style-span"/>
          <w:rFonts w:cs="Tahoma"/>
        </w:rPr>
        <w:t>Mother’s tongue</w:t>
      </w:r>
      <w:bookmarkEnd w:id="36"/>
      <w:bookmarkEnd w:id="37"/>
      <w:bookmarkEnd w:id="38"/>
    </w:p>
    <w:p w:rsidR="00353ED4" w:rsidRPr="00815FA1" w:rsidRDefault="00353ED4" w:rsidP="003C3410">
      <w:pPr>
        <w:jc w:val="center"/>
        <w:rPr>
          <w:b/>
          <w:sz w:val="22"/>
          <w:szCs w:val="22"/>
        </w:rPr>
      </w:pPr>
    </w:p>
    <w:p w:rsidR="00353ED4" w:rsidRPr="00815FA1" w:rsidRDefault="00353ED4" w:rsidP="003C3410">
      <w:pPr>
        <w:jc w:val="center"/>
        <w:rPr>
          <w:b/>
        </w:rPr>
      </w:pPr>
      <w:r w:rsidRPr="00815FA1">
        <w:rPr>
          <w:b/>
          <w:sz w:val="22"/>
          <w:szCs w:val="22"/>
        </w:rPr>
        <w:t xml:space="preserve">Table </w:t>
      </w:r>
      <w:r w:rsidRPr="00815FA1">
        <w:rPr>
          <w:b/>
          <w:sz w:val="22"/>
          <w:szCs w:val="22"/>
        </w:rPr>
        <w:fldChar w:fldCharType="begin"/>
      </w:r>
      <w:r w:rsidRPr="00815FA1">
        <w:rPr>
          <w:b/>
          <w:sz w:val="22"/>
          <w:szCs w:val="22"/>
        </w:rPr>
        <w:instrText xml:space="preserve"> SEQ Chart \* ARABIC </w:instrText>
      </w:r>
      <w:r w:rsidRPr="00815FA1">
        <w:rPr>
          <w:b/>
          <w:sz w:val="22"/>
          <w:szCs w:val="22"/>
        </w:rPr>
        <w:fldChar w:fldCharType="separate"/>
      </w:r>
      <w:r w:rsidRPr="00815FA1">
        <w:rPr>
          <w:b/>
          <w:noProof/>
          <w:sz w:val="22"/>
          <w:szCs w:val="22"/>
        </w:rPr>
        <w:t>14</w:t>
      </w:r>
      <w:r w:rsidRPr="00815FA1">
        <w:rPr>
          <w:b/>
          <w:sz w:val="22"/>
          <w:szCs w:val="22"/>
        </w:rPr>
        <w:fldChar w:fldCharType="end"/>
      </w:r>
      <w:r w:rsidRPr="00815FA1">
        <w:rPr>
          <w:b/>
          <w:sz w:val="22"/>
          <w:szCs w:val="22"/>
        </w:rPr>
        <w:t>: Type of delivery by mother tongue</w:t>
      </w:r>
    </w:p>
    <w:tbl>
      <w:tblPr>
        <w:tblW w:w="5685" w:type="dxa"/>
        <w:jc w:val="center"/>
        <w:tblLayout w:type="fixed"/>
        <w:tblCellMar>
          <w:left w:w="70" w:type="dxa"/>
          <w:right w:w="70" w:type="dxa"/>
        </w:tblCellMar>
        <w:tblLook w:val="00A0" w:firstRow="1" w:lastRow="0" w:firstColumn="1" w:lastColumn="0" w:noHBand="0" w:noVBand="0"/>
      </w:tblPr>
      <w:tblGrid>
        <w:gridCol w:w="1312"/>
        <w:gridCol w:w="708"/>
        <w:gridCol w:w="792"/>
        <w:gridCol w:w="747"/>
        <w:gridCol w:w="737"/>
        <w:gridCol w:w="680"/>
        <w:gridCol w:w="709"/>
      </w:tblGrid>
      <w:tr w:rsidR="00353ED4" w:rsidRPr="00815FA1">
        <w:trPr>
          <w:trHeight w:val="417"/>
          <w:jc w:val="center"/>
        </w:trPr>
        <w:tc>
          <w:tcPr>
            <w:tcW w:w="1312" w:type="dxa"/>
            <w:tcBorders>
              <w:top w:val="nil"/>
              <w:left w:val="nil"/>
              <w:right w:val="single" w:sz="4" w:space="0" w:color="auto"/>
            </w:tcBorders>
            <w:noWrap/>
            <w:vAlign w:val="center"/>
          </w:tcPr>
          <w:p w:rsidR="00353ED4" w:rsidRPr="00815FA1" w:rsidRDefault="00353ED4" w:rsidP="003C3410">
            <w:pPr>
              <w:spacing w:before="0" w:after="0" w:line="240" w:lineRule="auto"/>
              <w:rPr>
                <w:color w:val="000000"/>
                <w:sz w:val="22"/>
                <w:szCs w:val="22"/>
              </w:rPr>
            </w:pPr>
          </w:p>
          <w:p w:rsidR="00353ED4" w:rsidRPr="00815FA1" w:rsidRDefault="00353ED4" w:rsidP="003C3410">
            <w:pPr>
              <w:spacing w:before="0" w:after="0" w:line="240" w:lineRule="auto"/>
              <w:rPr>
                <w:color w:val="000000"/>
                <w:sz w:val="22"/>
                <w:szCs w:val="22"/>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Total</w:t>
            </w:r>
          </w:p>
        </w:tc>
        <w:tc>
          <w:tcPr>
            <w:tcW w:w="1484" w:type="dxa"/>
            <w:gridSpan w:val="2"/>
            <w:tcBorders>
              <w:top w:val="single" w:sz="4" w:space="0" w:color="auto"/>
              <w:left w:val="single" w:sz="4" w:space="0" w:color="auto"/>
              <w:bottom w:val="single" w:sz="4" w:space="0" w:color="auto"/>
              <w:right w:val="sing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Urban</w:t>
            </w:r>
          </w:p>
        </w:tc>
        <w:tc>
          <w:tcPr>
            <w:tcW w:w="1389" w:type="dxa"/>
            <w:gridSpan w:val="2"/>
            <w:tcBorders>
              <w:top w:val="single" w:sz="4" w:space="0" w:color="auto"/>
              <w:left w:val="single" w:sz="4" w:space="0" w:color="auto"/>
              <w:bottom w:val="single" w:sz="4" w:space="0" w:color="auto"/>
              <w:right w:val="doub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Rural</w:t>
            </w:r>
          </w:p>
        </w:tc>
      </w:tr>
      <w:tr w:rsidR="00353ED4" w:rsidRPr="00815FA1">
        <w:trPr>
          <w:trHeight w:val="417"/>
          <w:jc w:val="center"/>
        </w:trPr>
        <w:tc>
          <w:tcPr>
            <w:tcW w:w="1312" w:type="dxa"/>
            <w:tcBorders>
              <w:top w:val="nil"/>
              <w:left w:val="nil"/>
              <w:right w:val="single" w:sz="4" w:space="0" w:color="auto"/>
            </w:tcBorders>
            <w:noWrap/>
            <w:vAlign w:val="center"/>
          </w:tcPr>
          <w:p w:rsidR="00353ED4" w:rsidRPr="00815FA1" w:rsidRDefault="00353ED4" w:rsidP="003C3410">
            <w:pPr>
              <w:spacing w:before="0" w:after="0" w:line="240" w:lineRule="auto"/>
              <w:rPr>
                <w:color w:val="000000"/>
                <w:sz w:val="22"/>
                <w:szCs w:val="22"/>
              </w:rPr>
            </w:pPr>
          </w:p>
        </w:tc>
        <w:tc>
          <w:tcPr>
            <w:tcW w:w="708"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792" w:type="dxa"/>
            <w:tcBorders>
              <w:top w:val="single" w:sz="4" w:space="0" w:color="auto"/>
              <w:left w:val="nil"/>
              <w:bottom w:val="single" w:sz="4" w:space="0" w:color="auto"/>
              <w:right w:val="single" w:sz="4" w:space="0" w:color="auto"/>
            </w:tcBorders>
            <w:shd w:val="clear" w:color="auto" w:fill="B6DDE8"/>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ID</w:t>
            </w:r>
          </w:p>
        </w:tc>
        <w:tc>
          <w:tcPr>
            <w:tcW w:w="747"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737" w:type="dxa"/>
            <w:tcBorders>
              <w:top w:val="single" w:sz="4" w:space="0" w:color="auto"/>
              <w:left w:val="nil"/>
              <w:bottom w:val="single" w:sz="4" w:space="0" w:color="auto"/>
              <w:right w:val="single" w:sz="4" w:space="0" w:color="auto"/>
            </w:tcBorders>
            <w:shd w:val="clear" w:color="auto" w:fill="B6DDE8"/>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ID</w:t>
            </w:r>
          </w:p>
        </w:tc>
        <w:tc>
          <w:tcPr>
            <w:tcW w:w="680"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709" w:type="dxa"/>
            <w:tcBorders>
              <w:top w:val="single" w:sz="4" w:space="0" w:color="auto"/>
              <w:left w:val="nil"/>
              <w:bottom w:val="single" w:sz="8" w:space="0" w:color="auto"/>
              <w:right w:val="doub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p>
        </w:tc>
      </w:tr>
      <w:tr w:rsidR="00353ED4" w:rsidRPr="00815FA1">
        <w:trPr>
          <w:trHeight w:val="632"/>
          <w:jc w:val="center"/>
        </w:trPr>
        <w:tc>
          <w:tcPr>
            <w:tcW w:w="1312"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Spanish</w:t>
            </w:r>
          </w:p>
        </w:tc>
        <w:tc>
          <w:tcPr>
            <w:tcW w:w="708"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21.6</w:t>
            </w:r>
          </w:p>
        </w:tc>
        <w:tc>
          <w:tcPr>
            <w:tcW w:w="792"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78.4</w:t>
            </w:r>
          </w:p>
        </w:tc>
        <w:tc>
          <w:tcPr>
            <w:tcW w:w="747"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6.4</w:t>
            </w:r>
          </w:p>
        </w:tc>
        <w:tc>
          <w:tcPr>
            <w:tcW w:w="737"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93.6</w:t>
            </w:r>
          </w:p>
        </w:tc>
        <w:tc>
          <w:tcPr>
            <w:tcW w:w="680"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46.8</w:t>
            </w:r>
          </w:p>
        </w:tc>
        <w:tc>
          <w:tcPr>
            <w:tcW w:w="709"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53.2</w:t>
            </w:r>
          </w:p>
        </w:tc>
      </w:tr>
      <w:tr w:rsidR="00353ED4" w:rsidRPr="00815FA1">
        <w:trPr>
          <w:trHeight w:val="684"/>
          <w:jc w:val="center"/>
        </w:trPr>
        <w:tc>
          <w:tcPr>
            <w:tcW w:w="1312"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Quechua</w:t>
            </w:r>
          </w:p>
        </w:tc>
        <w:tc>
          <w:tcPr>
            <w:tcW w:w="708"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32.3</w:t>
            </w:r>
          </w:p>
        </w:tc>
        <w:tc>
          <w:tcPr>
            <w:tcW w:w="792"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67.7</w:t>
            </w:r>
          </w:p>
        </w:tc>
        <w:tc>
          <w:tcPr>
            <w:tcW w:w="747"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13.6</w:t>
            </w:r>
          </w:p>
        </w:tc>
        <w:tc>
          <w:tcPr>
            <w:tcW w:w="737"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86.4</w:t>
            </w:r>
          </w:p>
        </w:tc>
        <w:tc>
          <w:tcPr>
            <w:tcW w:w="680"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39.2</w:t>
            </w:r>
          </w:p>
        </w:tc>
        <w:tc>
          <w:tcPr>
            <w:tcW w:w="709"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60.8</w:t>
            </w:r>
          </w:p>
        </w:tc>
      </w:tr>
      <w:tr w:rsidR="00353ED4" w:rsidRPr="00815FA1">
        <w:trPr>
          <w:trHeight w:val="707"/>
          <w:jc w:val="center"/>
        </w:trPr>
        <w:tc>
          <w:tcPr>
            <w:tcW w:w="1312"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Aymara</w:t>
            </w:r>
          </w:p>
        </w:tc>
        <w:tc>
          <w:tcPr>
            <w:tcW w:w="708"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60.3</w:t>
            </w:r>
          </w:p>
        </w:tc>
        <w:tc>
          <w:tcPr>
            <w:tcW w:w="792"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39.7</w:t>
            </w:r>
          </w:p>
        </w:tc>
        <w:tc>
          <w:tcPr>
            <w:tcW w:w="747"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0.0</w:t>
            </w:r>
          </w:p>
        </w:tc>
        <w:tc>
          <w:tcPr>
            <w:tcW w:w="737"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100.0</w:t>
            </w:r>
          </w:p>
        </w:tc>
        <w:tc>
          <w:tcPr>
            <w:tcW w:w="680"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74.6</w:t>
            </w:r>
          </w:p>
        </w:tc>
        <w:tc>
          <w:tcPr>
            <w:tcW w:w="709"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25.4</w:t>
            </w:r>
          </w:p>
        </w:tc>
      </w:tr>
      <w:tr w:rsidR="00353ED4" w:rsidRPr="00815FA1">
        <w:trPr>
          <w:trHeight w:val="794"/>
          <w:jc w:val="center"/>
        </w:trPr>
        <w:tc>
          <w:tcPr>
            <w:tcW w:w="1312" w:type="dxa"/>
            <w:tcBorders>
              <w:top w:val="single" w:sz="4" w:space="0" w:color="auto"/>
              <w:left w:val="single" w:sz="8" w:space="0" w:color="auto"/>
              <w:bottom w:val="single" w:sz="4" w:space="0" w:color="auto"/>
              <w:right w:val="single" w:sz="8"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Other indigeneous language</w:t>
            </w:r>
          </w:p>
        </w:tc>
        <w:tc>
          <w:tcPr>
            <w:tcW w:w="708"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89.9</w:t>
            </w:r>
          </w:p>
        </w:tc>
        <w:tc>
          <w:tcPr>
            <w:tcW w:w="792"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10.1</w:t>
            </w:r>
          </w:p>
        </w:tc>
        <w:tc>
          <w:tcPr>
            <w:tcW w:w="747"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65.0</w:t>
            </w:r>
          </w:p>
        </w:tc>
        <w:tc>
          <w:tcPr>
            <w:tcW w:w="737"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35.0</w:t>
            </w:r>
          </w:p>
        </w:tc>
        <w:tc>
          <w:tcPr>
            <w:tcW w:w="680"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100.0</w:t>
            </w:r>
          </w:p>
        </w:tc>
        <w:tc>
          <w:tcPr>
            <w:tcW w:w="709"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0.0</w:t>
            </w:r>
          </w:p>
        </w:tc>
      </w:tr>
    </w:tbl>
    <w:p w:rsidR="00353ED4" w:rsidRPr="00815FA1"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*NID= Non Institutional Delivery</w:t>
      </w:r>
    </w:p>
    <w:p w:rsidR="00353ED4" w:rsidRPr="00815FA1"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*ID= Institutional Delivery</w:t>
      </w:r>
    </w:p>
    <w:p w:rsidR="00353ED4"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 xml:space="preserve">Source: ENDES Continua 2004-2007 </w:t>
      </w:r>
    </w:p>
    <w:p w:rsidR="00353ED4" w:rsidRPr="00815FA1" w:rsidRDefault="00353ED4" w:rsidP="003C3410">
      <w:pPr>
        <w:tabs>
          <w:tab w:val="left" w:pos="993"/>
        </w:tabs>
        <w:spacing w:before="0" w:after="0"/>
        <w:ind w:left="993"/>
        <w:rPr>
          <w:rStyle w:val="apple-style-span"/>
          <w:rFonts w:cs="Tahoma"/>
          <w:sz w:val="22"/>
          <w:szCs w:val="22"/>
        </w:rPr>
      </w:pPr>
    </w:p>
    <w:p w:rsidR="00353ED4" w:rsidRPr="00547EE1" w:rsidRDefault="00353ED4" w:rsidP="00547EE1">
      <w:pPr>
        <w:ind w:left="567"/>
        <w:jc w:val="both"/>
        <w:rPr>
          <w:sz w:val="22"/>
        </w:rPr>
      </w:pPr>
      <w:r w:rsidRPr="00547EE1">
        <w:rPr>
          <w:sz w:val="22"/>
        </w:rPr>
        <w:t>An important characteristic is mother’s tongue due the large number of different cultures living in the country. Table 14 shows the proportion of institutional and non institutional deliveries for several language categories. With ENDES data, women speaking Spanish as their first language are most likely to give birth in an institutional facility (78%); likewise, for those speaking quechua, although in a minor proportion (68%); however, the situation is different for the aymara speaking women (only 40% has an institutional delivery), and women speaking other native tongues (usually sylvan languages), whom 90% of them don’t have an institutional delivery. A possible explanation is that selvatic regions have the lowest ratio of doctors and obstetricians per 10000 habitants; there aren’t enough health professionals to tackle demand. Moreover, establishments in Aymara and Sylvan languages areas count, mostly, with health technicians and auxiliaries in health posts. Even though they do speak native languages, they are neither qualified nor authorized to conduct deliveries. Even though there is a clear supply side problem to handle institutional deliveries for these population, customarily, aymara and selvatic women also prefer to give birth on their own and aren’t used to going to health establishments.</w:t>
      </w:r>
    </w:p>
    <w:p w:rsidR="00353ED4" w:rsidRPr="00815FA1" w:rsidRDefault="00353ED4" w:rsidP="00F642D6">
      <w:pPr>
        <w:pStyle w:val="Ttulo4"/>
        <w:rPr>
          <w:rStyle w:val="apple-style-span"/>
          <w:rFonts w:cs="Tahoma"/>
        </w:rPr>
      </w:pPr>
      <w:bookmarkStart w:id="39" w:name="_Toc247676660"/>
      <w:bookmarkStart w:id="40" w:name="_Toc247678224"/>
      <w:bookmarkStart w:id="41" w:name="_Toc247884575"/>
      <w:r w:rsidRPr="00815FA1">
        <w:rPr>
          <w:rStyle w:val="apple-style-span"/>
          <w:rFonts w:cs="Tahoma"/>
        </w:rPr>
        <w:t>Income quintile</w:t>
      </w:r>
      <w:bookmarkEnd w:id="39"/>
      <w:bookmarkEnd w:id="40"/>
      <w:bookmarkEnd w:id="41"/>
    </w:p>
    <w:p w:rsidR="00353ED4" w:rsidRPr="00815FA1" w:rsidRDefault="00353ED4" w:rsidP="003C3410">
      <w:pPr>
        <w:jc w:val="center"/>
        <w:rPr>
          <w:b/>
        </w:rPr>
      </w:pPr>
    </w:p>
    <w:p w:rsidR="00353ED4" w:rsidRPr="00815FA1" w:rsidRDefault="00353ED4" w:rsidP="003C3410">
      <w:pPr>
        <w:jc w:val="center"/>
        <w:rPr>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sidRPr="00815FA1">
        <w:rPr>
          <w:b/>
          <w:noProof/>
          <w:sz w:val="22"/>
        </w:rPr>
        <w:t>15</w:t>
      </w:r>
      <w:r w:rsidRPr="00815FA1">
        <w:rPr>
          <w:b/>
          <w:sz w:val="22"/>
        </w:rPr>
        <w:fldChar w:fldCharType="end"/>
      </w:r>
      <w:r w:rsidRPr="00815FA1">
        <w:rPr>
          <w:b/>
          <w:sz w:val="22"/>
        </w:rPr>
        <w:t>: Type of by household's wealth</w:t>
      </w:r>
    </w:p>
    <w:tbl>
      <w:tblPr>
        <w:tblW w:w="6142" w:type="dxa"/>
        <w:jc w:val="center"/>
        <w:tblLayout w:type="fixed"/>
        <w:tblCellMar>
          <w:left w:w="70" w:type="dxa"/>
          <w:right w:w="70" w:type="dxa"/>
        </w:tblCellMar>
        <w:tblLook w:val="00A0" w:firstRow="1" w:lastRow="0" w:firstColumn="1" w:lastColumn="0" w:noHBand="0" w:noVBand="0"/>
      </w:tblPr>
      <w:tblGrid>
        <w:gridCol w:w="1560"/>
        <w:gridCol w:w="690"/>
        <w:gridCol w:w="841"/>
        <w:gridCol w:w="793"/>
        <w:gridCol w:w="783"/>
        <w:gridCol w:w="722"/>
        <w:gridCol w:w="753"/>
      </w:tblGrid>
      <w:tr w:rsidR="00353ED4" w:rsidRPr="00815FA1">
        <w:trPr>
          <w:trHeight w:val="417"/>
          <w:jc w:val="center"/>
        </w:trPr>
        <w:tc>
          <w:tcPr>
            <w:tcW w:w="1560" w:type="dxa"/>
            <w:tcBorders>
              <w:top w:val="nil"/>
              <w:left w:val="nil"/>
              <w:right w:val="single" w:sz="4" w:space="0" w:color="auto"/>
            </w:tcBorders>
            <w:noWrap/>
            <w:vAlign w:val="center"/>
          </w:tcPr>
          <w:p w:rsidR="00353ED4" w:rsidRPr="00815FA1" w:rsidRDefault="00353ED4" w:rsidP="003C3410">
            <w:pPr>
              <w:spacing w:before="0" w:after="0" w:line="240" w:lineRule="auto"/>
              <w:rPr>
                <w:color w:val="000000"/>
                <w:sz w:val="22"/>
                <w:szCs w:val="22"/>
              </w:rPr>
            </w:pPr>
          </w:p>
        </w:tc>
        <w:tc>
          <w:tcPr>
            <w:tcW w:w="1531" w:type="dxa"/>
            <w:gridSpan w:val="2"/>
            <w:tcBorders>
              <w:top w:val="single" w:sz="4" w:space="0" w:color="auto"/>
              <w:left w:val="single" w:sz="4" w:space="0" w:color="auto"/>
              <w:bottom w:val="single" w:sz="4" w:space="0" w:color="auto"/>
              <w:right w:val="sing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Total</w:t>
            </w:r>
          </w:p>
        </w:tc>
        <w:tc>
          <w:tcPr>
            <w:tcW w:w="1576" w:type="dxa"/>
            <w:gridSpan w:val="2"/>
            <w:tcBorders>
              <w:top w:val="single" w:sz="4" w:space="0" w:color="auto"/>
              <w:left w:val="single" w:sz="4" w:space="0" w:color="auto"/>
              <w:bottom w:val="single" w:sz="4" w:space="0" w:color="auto"/>
              <w:right w:val="sing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Urban</w:t>
            </w:r>
          </w:p>
        </w:tc>
        <w:tc>
          <w:tcPr>
            <w:tcW w:w="1475" w:type="dxa"/>
            <w:gridSpan w:val="2"/>
            <w:tcBorders>
              <w:top w:val="single" w:sz="4" w:space="0" w:color="auto"/>
              <w:left w:val="single" w:sz="4" w:space="0" w:color="auto"/>
              <w:bottom w:val="single" w:sz="4" w:space="0" w:color="auto"/>
              <w:right w:val="double" w:sz="4" w:space="0" w:color="auto"/>
            </w:tcBorders>
            <w:shd w:val="clear" w:color="auto" w:fill="4BACC6"/>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Rural</w:t>
            </w:r>
          </w:p>
        </w:tc>
      </w:tr>
      <w:tr w:rsidR="00353ED4" w:rsidRPr="00815FA1">
        <w:trPr>
          <w:trHeight w:val="417"/>
          <w:jc w:val="center"/>
        </w:trPr>
        <w:tc>
          <w:tcPr>
            <w:tcW w:w="1560" w:type="dxa"/>
            <w:tcBorders>
              <w:top w:val="nil"/>
              <w:left w:val="nil"/>
              <w:right w:val="single" w:sz="4" w:space="0" w:color="auto"/>
            </w:tcBorders>
            <w:noWrap/>
            <w:vAlign w:val="center"/>
          </w:tcPr>
          <w:p w:rsidR="00353ED4" w:rsidRPr="00815FA1" w:rsidRDefault="00353ED4" w:rsidP="003C3410">
            <w:pPr>
              <w:spacing w:before="0" w:after="0" w:line="240" w:lineRule="auto"/>
              <w:rPr>
                <w:color w:val="000000"/>
                <w:sz w:val="22"/>
                <w:szCs w:val="22"/>
              </w:rPr>
            </w:pPr>
          </w:p>
        </w:tc>
        <w:tc>
          <w:tcPr>
            <w:tcW w:w="690"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841" w:type="dxa"/>
            <w:tcBorders>
              <w:top w:val="single" w:sz="4" w:space="0" w:color="auto"/>
              <w:left w:val="nil"/>
              <w:bottom w:val="single" w:sz="4" w:space="0" w:color="auto"/>
              <w:right w:val="single" w:sz="4" w:space="0" w:color="auto"/>
            </w:tcBorders>
            <w:shd w:val="clear" w:color="auto" w:fill="B6DDE8"/>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ID</w:t>
            </w:r>
          </w:p>
        </w:tc>
        <w:tc>
          <w:tcPr>
            <w:tcW w:w="793"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783" w:type="dxa"/>
            <w:tcBorders>
              <w:top w:val="single" w:sz="4" w:space="0" w:color="auto"/>
              <w:left w:val="nil"/>
              <w:bottom w:val="single" w:sz="4" w:space="0" w:color="auto"/>
              <w:right w:val="single" w:sz="4" w:space="0" w:color="auto"/>
            </w:tcBorders>
            <w:shd w:val="clear" w:color="auto" w:fill="B6DDE8"/>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ID</w:t>
            </w:r>
          </w:p>
        </w:tc>
        <w:tc>
          <w:tcPr>
            <w:tcW w:w="722" w:type="dxa"/>
            <w:tcBorders>
              <w:top w:val="single" w:sz="4" w:space="0" w:color="auto"/>
              <w:left w:val="single" w:sz="4" w:space="0" w:color="auto"/>
              <w:bottom w:val="sing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NID</w:t>
            </w:r>
          </w:p>
        </w:tc>
        <w:tc>
          <w:tcPr>
            <w:tcW w:w="753" w:type="dxa"/>
            <w:tcBorders>
              <w:top w:val="single" w:sz="4" w:space="0" w:color="auto"/>
              <w:left w:val="nil"/>
              <w:bottom w:val="single" w:sz="8" w:space="0" w:color="auto"/>
              <w:right w:val="double" w:sz="4" w:space="0" w:color="auto"/>
            </w:tcBorders>
            <w:shd w:val="clear" w:color="auto" w:fill="B6DDE8"/>
            <w:noWrap/>
            <w:vAlign w:val="center"/>
          </w:tcPr>
          <w:p w:rsidR="00353ED4" w:rsidRPr="00815FA1" w:rsidRDefault="00353ED4" w:rsidP="003C3410">
            <w:pPr>
              <w:spacing w:before="0" w:after="0" w:line="240" w:lineRule="auto"/>
              <w:jc w:val="center"/>
              <w:rPr>
                <w:b/>
                <w:color w:val="000000"/>
                <w:sz w:val="22"/>
                <w:szCs w:val="22"/>
              </w:rPr>
            </w:pPr>
            <w:r w:rsidRPr="00815FA1">
              <w:rPr>
                <w:b/>
                <w:color w:val="000000"/>
                <w:sz w:val="22"/>
                <w:szCs w:val="22"/>
              </w:rPr>
              <w:t>ID</w:t>
            </w:r>
          </w:p>
        </w:tc>
      </w:tr>
      <w:tr w:rsidR="00353ED4" w:rsidRPr="00815FA1">
        <w:trPr>
          <w:trHeight w:val="662"/>
          <w:jc w:val="center"/>
        </w:trPr>
        <w:tc>
          <w:tcPr>
            <w:tcW w:w="1560"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Poorest Quintile</w:t>
            </w:r>
          </w:p>
        </w:tc>
        <w:tc>
          <w:tcPr>
            <w:tcW w:w="690"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66.1</w:t>
            </w:r>
          </w:p>
        </w:tc>
        <w:tc>
          <w:tcPr>
            <w:tcW w:w="841"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33.9</w:t>
            </w:r>
          </w:p>
        </w:tc>
        <w:tc>
          <w:tcPr>
            <w:tcW w:w="793"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45.4</w:t>
            </w:r>
          </w:p>
        </w:tc>
        <w:tc>
          <w:tcPr>
            <w:tcW w:w="783"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54.6</w:t>
            </w:r>
          </w:p>
        </w:tc>
        <w:tc>
          <w:tcPr>
            <w:tcW w:w="722"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67.9</w:t>
            </w:r>
          </w:p>
        </w:tc>
        <w:tc>
          <w:tcPr>
            <w:tcW w:w="753"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32.1</w:t>
            </w:r>
          </w:p>
        </w:tc>
      </w:tr>
      <w:tr w:rsidR="00353ED4" w:rsidRPr="00815FA1">
        <w:trPr>
          <w:trHeight w:val="607"/>
          <w:jc w:val="center"/>
        </w:trPr>
        <w:tc>
          <w:tcPr>
            <w:tcW w:w="1560"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Poorer Quintile</w:t>
            </w:r>
          </w:p>
        </w:tc>
        <w:tc>
          <w:tcPr>
            <w:tcW w:w="690"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46.2</w:t>
            </w:r>
          </w:p>
        </w:tc>
        <w:tc>
          <w:tcPr>
            <w:tcW w:w="841"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53.8</w:t>
            </w:r>
          </w:p>
        </w:tc>
        <w:tc>
          <w:tcPr>
            <w:tcW w:w="793"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i/>
                <w:iCs/>
                <w:color w:val="000000"/>
                <w:sz w:val="22"/>
                <w:szCs w:val="22"/>
              </w:rPr>
              <w:t>28.4</w:t>
            </w:r>
          </w:p>
        </w:tc>
        <w:tc>
          <w:tcPr>
            <w:tcW w:w="783"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71.6</w:t>
            </w:r>
          </w:p>
        </w:tc>
        <w:tc>
          <w:tcPr>
            <w:tcW w:w="722"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50.8</w:t>
            </w:r>
          </w:p>
        </w:tc>
        <w:tc>
          <w:tcPr>
            <w:tcW w:w="753"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49.2</w:t>
            </w:r>
          </w:p>
        </w:tc>
      </w:tr>
      <w:tr w:rsidR="00353ED4" w:rsidRPr="00815FA1">
        <w:trPr>
          <w:trHeight w:val="701"/>
          <w:jc w:val="center"/>
        </w:trPr>
        <w:tc>
          <w:tcPr>
            <w:tcW w:w="1560" w:type="dxa"/>
            <w:tcBorders>
              <w:top w:val="single" w:sz="4" w:space="0" w:color="auto"/>
              <w:left w:val="single" w:sz="8" w:space="0" w:color="auto"/>
              <w:bottom w:val="single" w:sz="4" w:space="0" w:color="auto"/>
              <w:right w:val="single" w:sz="8" w:space="0" w:color="auto"/>
            </w:tcBorders>
            <w:noWrap/>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Middle Quintile</w:t>
            </w:r>
          </w:p>
        </w:tc>
        <w:tc>
          <w:tcPr>
            <w:tcW w:w="690"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12.0</w:t>
            </w:r>
          </w:p>
        </w:tc>
        <w:tc>
          <w:tcPr>
            <w:tcW w:w="841"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88.0</w:t>
            </w:r>
          </w:p>
        </w:tc>
        <w:tc>
          <w:tcPr>
            <w:tcW w:w="793"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8.6</w:t>
            </w:r>
          </w:p>
        </w:tc>
        <w:tc>
          <w:tcPr>
            <w:tcW w:w="783"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91.4</w:t>
            </w:r>
          </w:p>
        </w:tc>
        <w:tc>
          <w:tcPr>
            <w:tcW w:w="722"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21.5</w:t>
            </w:r>
          </w:p>
        </w:tc>
        <w:tc>
          <w:tcPr>
            <w:tcW w:w="753"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78.5</w:t>
            </w:r>
          </w:p>
        </w:tc>
      </w:tr>
      <w:tr w:rsidR="00353ED4" w:rsidRPr="00815FA1">
        <w:trPr>
          <w:trHeight w:val="794"/>
          <w:jc w:val="center"/>
        </w:trPr>
        <w:tc>
          <w:tcPr>
            <w:tcW w:w="1560" w:type="dxa"/>
            <w:tcBorders>
              <w:top w:val="single" w:sz="4" w:space="0" w:color="auto"/>
              <w:left w:val="single" w:sz="8" w:space="0" w:color="auto"/>
              <w:bottom w:val="single" w:sz="4" w:space="0" w:color="auto"/>
              <w:right w:val="single" w:sz="8"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Richer Quintile</w:t>
            </w:r>
          </w:p>
        </w:tc>
        <w:tc>
          <w:tcPr>
            <w:tcW w:w="690"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4.0</w:t>
            </w:r>
          </w:p>
        </w:tc>
        <w:tc>
          <w:tcPr>
            <w:tcW w:w="841"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96.0</w:t>
            </w:r>
          </w:p>
        </w:tc>
        <w:tc>
          <w:tcPr>
            <w:tcW w:w="793"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3.0</w:t>
            </w:r>
          </w:p>
        </w:tc>
        <w:tc>
          <w:tcPr>
            <w:tcW w:w="783"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97.0</w:t>
            </w:r>
          </w:p>
        </w:tc>
        <w:tc>
          <w:tcPr>
            <w:tcW w:w="722"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15.3</w:t>
            </w:r>
          </w:p>
        </w:tc>
        <w:tc>
          <w:tcPr>
            <w:tcW w:w="753"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84.7</w:t>
            </w:r>
          </w:p>
        </w:tc>
      </w:tr>
      <w:tr w:rsidR="00353ED4" w:rsidRPr="00815FA1">
        <w:trPr>
          <w:trHeight w:val="794"/>
          <w:jc w:val="center"/>
        </w:trPr>
        <w:tc>
          <w:tcPr>
            <w:tcW w:w="1560" w:type="dxa"/>
            <w:tcBorders>
              <w:top w:val="single" w:sz="4" w:space="0" w:color="auto"/>
              <w:left w:val="single" w:sz="8" w:space="0" w:color="auto"/>
              <w:bottom w:val="single" w:sz="4" w:space="0" w:color="auto"/>
              <w:right w:val="single" w:sz="8"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Richest Quintile</w:t>
            </w:r>
          </w:p>
        </w:tc>
        <w:tc>
          <w:tcPr>
            <w:tcW w:w="690" w:type="dxa"/>
            <w:tcBorders>
              <w:top w:val="single" w:sz="4" w:space="0" w:color="auto"/>
              <w:left w:val="nil"/>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1.6</w:t>
            </w:r>
          </w:p>
        </w:tc>
        <w:tc>
          <w:tcPr>
            <w:tcW w:w="841"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98.4</w:t>
            </w:r>
          </w:p>
        </w:tc>
        <w:tc>
          <w:tcPr>
            <w:tcW w:w="793"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1.6</w:t>
            </w:r>
          </w:p>
        </w:tc>
        <w:tc>
          <w:tcPr>
            <w:tcW w:w="783" w:type="dxa"/>
            <w:tcBorders>
              <w:top w:val="single" w:sz="4" w:space="0" w:color="auto"/>
              <w:left w:val="nil"/>
              <w:bottom w:val="single" w:sz="4" w:space="0" w:color="auto"/>
              <w:right w:val="single" w:sz="4" w:space="0" w:color="auto"/>
            </w:tcBorders>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98.5</w:t>
            </w:r>
          </w:p>
        </w:tc>
        <w:tc>
          <w:tcPr>
            <w:tcW w:w="722" w:type="dxa"/>
            <w:tcBorders>
              <w:top w:val="single" w:sz="4" w:space="0" w:color="auto"/>
              <w:left w:val="single" w:sz="4" w:space="0" w:color="auto"/>
              <w:bottom w:val="sing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8.4</w:t>
            </w:r>
          </w:p>
        </w:tc>
        <w:tc>
          <w:tcPr>
            <w:tcW w:w="753" w:type="dxa"/>
            <w:tcBorders>
              <w:top w:val="single" w:sz="4" w:space="0" w:color="auto"/>
              <w:left w:val="nil"/>
              <w:bottom w:val="single" w:sz="4" w:space="0" w:color="auto"/>
              <w:right w:val="double" w:sz="4"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91.6</w:t>
            </w:r>
          </w:p>
        </w:tc>
      </w:tr>
    </w:tbl>
    <w:p w:rsidR="00353ED4" w:rsidRPr="00815FA1"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*NID= Non Institutional Delivery</w:t>
      </w:r>
    </w:p>
    <w:p w:rsidR="00353ED4" w:rsidRPr="00815FA1"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*ID= Institutional Delivery</w:t>
      </w:r>
    </w:p>
    <w:p w:rsidR="00353ED4" w:rsidRPr="00815FA1" w:rsidRDefault="00353ED4" w:rsidP="003C3410">
      <w:pPr>
        <w:tabs>
          <w:tab w:val="left" w:pos="993"/>
        </w:tabs>
        <w:spacing w:before="0" w:after="0"/>
        <w:ind w:left="993"/>
        <w:rPr>
          <w:rStyle w:val="apple-style-span"/>
          <w:rFonts w:cs="Tahoma"/>
          <w:sz w:val="22"/>
          <w:szCs w:val="22"/>
        </w:rPr>
      </w:pPr>
      <w:r w:rsidRPr="00815FA1">
        <w:rPr>
          <w:rStyle w:val="apple-style-span"/>
          <w:rFonts w:cs="Tahoma"/>
          <w:sz w:val="22"/>
          <w:szCs w:val="22"/>
        </w:rPr>
        <w:t xml:space="preserve">Source: ENDES Continua 2004-2007 </w:t>
      </w:r>
    </w:p>
    <w:p w:rsidR="00353ED4" w:rsidRPr="00547EE1" w:rsidRDefault="00353ED4" w:rsidP="00547EE1">
      <w:pPr>
        <w:ind w:left="567"/>
        <w:jc w:val="both"/>
        <w:rPr>
          <w:sz w:val="22"/>
        </w:rPr>
      </w:pPr>
      <w:r w:rsidRPr="00547EE1">
        <w:rPr>
          <w:sz w:val="22"/>
        </w:rPr>
        <w:t xml:space="preserve">To capture exclusion and inequalities in access to institutional delivery, we consider the wealth quintile distribution among institutional and non institutional delivery (Table 15). </w:t>
      </w:r>
    </w:p>
    <w:p w:rsidR="00353ED4" w:rsidRDefault="00353ED4" w:rsidP="00547EE1">
      <w:pPr>
        <w:ind w:left="567"/>
        <w:jc w:val="both"/>
        <w:rPr>
          <w:sz w:val="22"/>
        </w:rPr>
      </w:pPr>
      <w:r w:rsidRPr="00547EE1">
        <w:rPr>
          <w:sz w:val="22"/>
        </w:rPr>
        <w:t>When considering wealth, differences between the richest and the poorest quintiles are broad. In the poorest quintile, 34% have an institutional delivery, while in the richest one, 98% of women have it.</w:t>
      </w:r>
    </w:p>
    <w:p w:rsidR="00353ED4" w:rsidRDefault="00353ED4" w:rsidP="00547EE1">
      <w:pPr>
        <w:ind w:left="567"/>
        <w:jc w:val="both"/>
        <w:rPr>
          <w:sz w:val="22"/>
        </w:rPr>
      </w:pPr>
    </w:p>
    <w:p w:rsidR="00353ED4" w:rsidRPr="00815FA1" w:rsidRDefault="00353ED4" w:rsidP="00F642D6">
      <w:pPr>
        <w:pStyle w:val="Ttulo4"/>
        <w:rPr>
          <w:rStyle w:val="apple-style-span"/>
          <w:rFonts w:cs="Tahoma"/>
        </w:rPr>
      </w:pPr>
      <w:bookmarkStart w:id="42" w:name="_Toc247676661"/>
      <w:bookmarkStart w:id="43" w:name="_Toc247678225"/>
      <w:bookmarkStart w:id="44" w:name="_Toc247884576"/>
      <w:r w:rsidRPr="00815FA1">
        <w:rPr>
          <w:rStyle w:val="apple-style-span"/>
          <w:rFonts w:cs="Tahoma"/>
        </w:rPr>
        <w:t>Affiliation to SIS</w:t>
      </w:r>
      <w:bookmarkEnd w:id="42"/>
      <w:bookmarkEnd w:id="43"/>
      <w:bookmarkEnd w:id="44"/>
    </w:p>
    <w:p w:rsidR="00353ED4" w:rsidRPr="00547EE1" w:rsidRDefault="00353ED4" w:rsidP="00547EE1">
      <w:pPr>
        <w:ind w:left="567"/>
        <w:jc w:val="both"/>
        <w:rPr>
          <w:sz w:val="22"/>
        </w:rPr>
      </w:pPr>
      <w:r w:rsidRPr="00547EE1">
        <w:rPr>
          <w:sz w:val="22"/>
        </w:rPr>
        <w:t>In terms of SIS effectiveness to broaden institutional delivery coverage, Table 16 shows the type of delivery women affiliated to SIS by area of residence.</w:t>
      </w:r>
    </w:p>
    <w:p w:rsidR="00353ED4" w:rsidRPr="00815FA1" w:rsidRDefault="00353ED4" w:rsidP="003C3410">
      <w:pPr>
        <w:jc w:val="cente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sidRPr="00815FA1">
        <w:rPr>
          <w:b/>
          <w:noProof/>
          <w:sz w:val="22"/>
        </w:rPr>
        <w:t>16</w:t>
      </w:r>
      <w:r w:rsidRPr="00815FA1">
        <w:rPr>
          <w:b/>
          <w:sz w:val="22"/>
        </w:rPr>
        <w:fldChar w:fldCharType="end"/>
      </w:r>
      <w:r w:rsidRPr="00815FA1">
        <w:rPr>
          <w:b/>
          <w:sz w:val="22"/>
        </w:rPr>
        <w:t>: Type of delivery of women affiliated to SIS</w:t>
      </w:r>
    </w:p>
    <w:tbl>
      <w:tblPr>
        <w:tblW w:w="4000" w:type="dxa"/>
        <w:jc w:val="center"/>
        <w:tblCellMar>
          <w:left w:w="70" w:type="dxa"/>
          <w:right w:w="70" w:type="dxa"/>
        </w:tblCellMar>
        <w:tblLook w:val="00A0" w:firstRow="1" w:lastRow="0" w:firstColumn="1" w:lastColumn="0" w:noHBand="0" w:noVBand="0"/>
      </w:tblPr>
      <w:tblGrid>
        <w:gridCol w:w="2800"/>
        <w:gridCol w:w="1200"/>
      </w:tblGrid>
      <w:tr w:rsidR="00353ED4" w:rsidRPr="00815FA1">
        <w:trPr>
          <w:trHeight w:val="315"/>
          <w:jc w:val="center"/>
        </w:trPr>
        <w:tc>
          <w:tcPr>
            <w:tcW w:w="2800" w:type="dxa"/>
            <w:tcBorders>
              <w:top w:val="nil"/>
              <w:left w:val="nil"/>
              <w:bottom w:val="nil"/>
              <w:right w:val="nil"/>
            </w:tcBorders>
            <w:noWrap/>
            <w:vAlign w:val="bottom"/>
          </w:tcPr>
          <w:p w:rsidR="00353ED4" w:rsidRPr="00815FA1" w:rsidRDefault="00353ED4" w:rsidP="003C3410">
            <w:pPr>
              <w:spacing w:before="0" w:after="0" w:line="240" w:lineRule="auto"/>
              <w:rPr>
                <w:color w:val="000000"/>
                <w:sz w:val="22"/>
                <w:szCs w:val="22"/>
              </w:rPr>
            </w:pPr>
          </w:p>
        </w:tc>
        <w:tc>
          <w:tcPr>
            <w:tcW w:w="1200" w:type="dxa"/>
            <w:tcBorders>
              <w:top w:val="single" w:sz="8" w:space="0" w:color="auto"/>
              <w:left w:val="single" w:sz="8" w:space="0" w:color="auto"/>
              <w:bottom w:val="single" w:sz="8" w:space="0" w:color="auto"/>
              <w:right w:val="single" w:sz="8" w:space="0" w:color="auto"/>
            </w:tcBorders>
            <w:shd w:val="clear" w:color="auto" w:fill="4BACC6"/>
            <w:noWrap/>
            <w:vAlign w:val="bottom"/>
          </w:tcPr>
          <w:p w:rsidR="00353ED4" w:rsidRPr="00815FA1" w:rsidRDefault="00353ED4" w:rsidP="003C3410">
            <w:pPr>
              <w:spacing w:before="0" w:after="0" w:line="240" w:lineRule="auto"/>
              <w:jc w:val="center"/>
              <w:rPr>
                <w:bCs/>
                <w:color w:val="000000"/>
                <w:sz w:val="22"/>
                <w:szCs w:val="22"/>
              </w:rPr>
            </w:pPr>
            <w:r w:rsidRPr="00815FA1">
              <w:rPr>
                <w:bCs/>
                <w:color w:val="000000"/>
                <w:sz w:val="22"/>
                <w:szCs w:val="22"/>
              </w:rPr>
              <w:t>E</w:t>
            </w:r>
            <w:r w:rsidRPr="00815FA1">
              <w:rPr>
                <w:bCs/>
                <w:color w:val="000000"/>
                <w:sz w:val="22"/>
                <w:szCs w:val="22"/>
                <w:shd w:val="clear" w:color="auto" w:fill="4BACC6"/>
              </w:rPr>
              <w:t>NDES</w:t>
            </w:r>
          </w:p>
        </w:tc>
      </w:tr>
      <w:tr w:rsidR="00353ED4" w:rsidRPr="00815FA1">
        <w:trPr>
          <w:trHeight w:val="300"/>
          <w:jc w:val="center"/>
        </w:trPr>
        <w:tc>
          <w:tcPr>
            <w:tcW w:w="2800" w:type="dxa"/>
            <w:tcBorders>
              <w:top w:val="single" w:sz="8" w:space="0" w:color="auto"/>
              <w:left w:val="single" w:sz="8" w:space="0" w:color="auto"/>
              <w:bottom w:val="nil"/>
              <w:right w:val="nil"/>
            </w:tcBorders>
            <w:shd w:val="clear" w:color="auto" w:fill="B6DDE8"/>
            <w:noWrap/>
            <w:vAlign w:val="bottom"/>
          </w:tcPr>
          <w:p w:rsidR="00353ED4" w:rsidRPr="00815FA1" w:rsidRDefault="00353ED4" w:rsidP="003C3410">
            <w:pPr>
              <w:spacing w:before="0" w:after="0" w:line="240" w:lineRule="auto"/>
              <w:rPr>
                <w:bCs/>
                <w:i/>
                <w:iCs/>
                <w:color w:val="000000"/>
                <w:sz w:val="22"/>
                <w:szCs w:val="22"/>
              </w:rPr>
            </w:pPr>
            <w:r w:rsidRPr="00815FA1">
              <w:rPr>
                <w:bCs/>
                <w:i/>
                <w:iCs/>
                <w:color w:val="000000"/>
                <w:sz w:val="22"/>
                <w:szCs w:val="22"/>
              </w:rPr>
              <w:t>Total</w:t>
            </w:r>
          </w:p>
        </w:tc>
        <w:tc>
          <w:tcPr>
            <w:tcW w:w="1200" w:type="dxa"/>
            <w:tcBorders>
              <w:top w:val="nil"/>
              <w:left w:val="single" w:sz="8" w:space="0" w:color="auto"/>
              <w:bottom w:val="nil"/>
              <w:right w:val="single" w:sz="8" w:space="0" w:color="auto"/>
            </w:tcBorders>
            <w:shd w:val="clear" w:color="auto" w:fill="B6DDE8"/>
            <w:noWrap/>
            <w:vAlign w:val="bottom"/>
          </w:tcPr>
          <w:p w:rsidR="00353ED4" w:rsidRPr="00815FA1" w:rsidRDefault="00353ED4" w:rsidP="003C3410">
            <w:pPr>
              <w:spacing w:before="0" w:after="0" w:line="240" w:lineRule="auto"/>
              <w:rPr>
                <w:color w:val="000000"/>
                <w:sz w:val="22"/>
                <w:szCs w:val="22"/>
              </w:rPr>
            </w:pPr>
          </w:p>
        </w:tc>
      </w:tr>
      <w:tr w:rsidR="00353ED4" w:rsidRPr="00815FA1">
        <w:trPr>
          <w:trHeight w:val="300"/>
          <w:jc w:val="center"/>
        </w:trPr>
        <w:tc>
          <w:tcPr>
            <w:tcW w:w="2800" w:type="dxa"/>
            <w:tcBorders>
              <w:top w:val="nil"/>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36.8</w:t>
            </w:r>
          </w:p>
        </w:tc>
      </w:tr>
      <w:tr w:rsidR="00353ED4" w:rsidRPr="00815FA1">
        <w:trPr>
          <w:trHeight w:val="300"/>
          <w:jc w:val="center"/>
        </w:trPr>
        <w:tc>
          <w:tcPr>
            <w:tcW w:w="2800" w:type="dxa"/>
            <w:tcBorders>
              <w:top w:val="nil"/>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63.2</w:t>
            </w:r>
          </w:p>
        </w:tc>
      </w:tr>
      <w:tr w:rsidR="00353ED4" w:rsidRPr="00815FA1">
        <w:trPr>
          <w:trHeight w:val="300"/>
          <w:jc w:val="center"/>
        </w:trPr>
        <w:tc>
          <w:tcPr>
            <w:tcW w:w="2800" w:type="dxa"/>
            <w:tcBorders>
              <w:top w:val="nil"/>
              <w:left w:val="single" w:sz="8" w:space="0" w:color="auto"/>
              <w:bottom w:val="nil"/>
              <w:right w:val="nil"/>
            </w:tcBorders>
            <w:noWrap/>
            <w:vAlign w:val="center"/>
          </w:tcPr>
          <w:p w:rsidR="00353ED4" w:rsidRPr="00815FA1" w:rsidRDefault="00353ED4" w:rsidP="003C3410">
            <w:pPr>
              <w:spacing w:before="0" w:after="0" w:line="240" w:lineRule="auto"/>
              <w:rPr>
                <w:bCs/>
                <w:i/>
                <w:iCs/>
                <w:color w:val="000000"/>
                <w:sz w:val="22"/>
                <w:szCs w:val="22"/>
              </w:rPr>
            </w:pPr>
            <w:r w:rsidRPr="00815FA1">
              <w:rPr>
                <w:bCs/>
                <w:i/>
                <w:iCs/>
                <w:color w:val="000000"/>
                <w:sz w:val="22"/>
                <w:szCs w:val="22"/>
              </w:rPr>
              <w:t>Urban</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p>
        </w:tc>
      </w:tr>
      <w:tr w:rsidR="00353ED4" w:rsidRPr="00815FA1">
        <w:trPr>
          <w:trHeight w:val="300"/>
          <w:jc w:val="center"/>
        </w:trPr>
        <w:tc>
          <w:tcPr>
            <w:tcW w:w="2800" w:type="dxa"/>
            <w:tcBorders>
              <w:top w:val="nil"/>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10.7</w:t>
            </w:r>
          </w:p>
        </w:tc>
      </w:tr>
      <w:tr w:rsidR="00353ED4" w:rsidRPr="00815FA1">
        <w:trPr>
          <w:trHeight w:val="300"/>
          <w:jc w:val="center"/>
        </w:trPr>
        <w:tc>
          <w:tcPr>
            <w:tcW w:w="2800" w:type="dxa"/>
            <w:tcBorders>
              <w:top w:val="nil"/>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89.3</w:t>
            </w:r>
          </w:p>
        </w:tc>
      </w:tr>
      <w:tr w:rsidR="00353ED4" w:rsidRPr="00815FA1">
        <w:trPr>
          <w:trHeight w:val="300"/>
          <w:jc w:val="center"/>
        </w:trPr>
        <w:tc>
          <w:tcPr>
            <w:tcW w:w="2800" w:type="dxa"/>
            <w:tcBorders>
              <w:top w:val="nil"/>
              <w:left w:val="single" w:sz="8" w:space="0" w:color="auto"/>
              <w:bottom w:val="nil"/>
              <w:right w:val="nil"/>
            </w:tcBorders>
            <w:noWrap/>
            <w:vAlign w:val="center"/>
          </w:tcPr>
          <w:p w:rsidR="00353ED4" w:rsidRPr="00815FA1" w:rsidRDefault="00353ED4" w:rsidP="003C3410">
            <w:pPr>
              <w:spacing w:before="0" w:after="0" w:line="240" w:lineRule="auto"/>
              <w:rPr>
                <w:bCs/>
                <w:i/>
                <w:iCs/>
                <w:color w:val="000000"/>
                <w:sz w:val="22"/>
                <w:szCs w:val="22"/>
              </w:rPr>
            </w:pPr>
            <w:r w:rsidRPr="00815FA1">
              <w:rPr>
                <w:bCs/>
                <w:i/>
                <w:iCs/>
                <w:color w:val="000000"/>
                <w:sz w:val="22"/>
                <w:szCs w:val="22"/>
              </w:rPr>
              <w:t>Rural</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p>
        </w:tc>
      </w:tr>
      <w:tr w:rsidR="00353ED4" w:rsidRPr="00815FA1">
        <w:trPr>
          <w:trHeight w:val="300"/>
          <w:jc w:val="center"/>
        </w:trPr>
        <w:tc>
          <w:tcPr>
            <w:tcW w:w="2800" w:type="dxa"/>
            <w:tcBorders>
              <w:top w:val="nil"/>
              <w:left w:val="single" w:sz="8" w:space="0" w:color="auto"/>
              <w:bottom w:val="nil"/>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Non Institutional Delivery</w:t>
            </w:r>
          </w:p>
        </w:tc>
        <w:tc>
          <w:tcPr>
            <w:tcW w:w="1200" w:type="dxa"/>
            <w:tcBorders>
              <w:top w:val="nil"/>
              <w:left w:val="single" w:sz="8" w:space="0" w:color="auto"/>
              <w:bottom w:val="nil"/>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52.8</w:t>
            </w:r>
          </w:p>
        </w:tc>
      </w:tr>
      <w:tr w:rsidR="00353ED4" w:rsidRPr="00815FA1">
        <w:trPr>
          <w:trHeight w:val="315"/>
          <w:jc w:val="center"/>
        </w:trPr>
        <w:tc>
          <w:tcPr>
            <w:tcW w:w="2800" w:type="dxa"/>
            <w:tcBorders>
              <w:top w:val="nil"/>
              <w:left w:val="single" w:sz="8" w:space="0" w:color="auto"/>
              <w:bottom w:val="single" w:sz="8" w:space="0" w:color="auto"/>
              <w:right w:val="nil"/>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Institutional Delivery</w:t>
            </w:r>
          </w:p>
        </w:tc>
        <w:tc>
          <w:tcPr>
            <w:tcW w:w="1200" w:type="dxa"/>
            <w:tcBorders>
              <w:top w:val="nil"/>
              <w:left w:val="single" w:sz="8" w:space="0" w:color="auto"/>
              <w:bottom w:val="single" w:sz="8" w:space="0" w:color="auto"/>
              <w:right w:val="single" w:sz="8" w:space="0" w:color="auto"/>
            </w:tcBorders>
            <w:noWrap/>
            <w:vAlign w:val="center"/>
          </w:tcPr>
          <w:p w:rsidR="00353ED4" w:rsidRPr="00815FA1" w:rsidRDefault="00353ED4" w:rsidP="003C3410">
            <w:pPr>
              <w:spacing w:before="0" w:after="0" w:line="240" w:lineRule="auto"/>
              <w:jc w:val="center"/>
              <w:rPr>
                <w:color w:val="000000"/>
                <w:sz w:val="22"/>
                <w:szCs w:val="22"/>
              </w:rPr>
            </w:pPr>
            <w:r w:rsidRPr="00815FA1">
              <w:rPr>
                <w:color w:val="000000"/>
                <w:sz w:val="22"/>
                <w:szCs w:val="22"/>
              </w:rPr>
              <w:t>47.2</w:t>
            </w:r>
          </w:p>
        </w:tc>
      </w:tr>
    </w:tbl>
    <w:p w:rsidR="00353ED4" w:rsidRPr="00815FA1" w:rsidRDefault="00353ED4" w:rsidP="00F37291">
      <w:pPr>
        <w:ind w:left="708" w:firstLine="708"/>
        <w:rPr>
          <w:rStyle w:val="apple-style-span"/>
          <w:rFonts w:cs="Tahoma"/>
          <w:sz w:val="22"/>
          <w:szCs w:val="22"/>
        </w:rPr>
      </w:pPr>
      <w:r w:rsidRPr="00815FA1">
        <w:rPr>
          <w:rStyle w:val="apple-style-span"/>
          <w:rFonts w:cs="Tahoma"/>
          <w:sz w:val="22"/>
          <w:szCs w:val="22"/>
        </w:rPr>
        <w:t>Source: ENDES Continua 2004-2007, ENAHO 2007</w:t>
      </w:r>
    </w:p>
    <w:p w:rsidR="00353ED4" w:rsidRPr="00547EE1" w:rsidRDefault="00353ED4" w:rsidP="00547EE1">
      <w:pPr>
        <w:ind w:left="567"/>
        <w:jc w:val="both"/>
        <w:rPr>
          <w:sz w:val="22"/>
        </w:rPr>
      </w:pPr>
      <w:r w:rsidRPr="00547EE1">
        <w:rPr>
          <w:sz w:val="22"/>
        </w:rPr>
        <w:t>In aggregate, despite the majority of women affiliated to SIS (63%) have an institutional delivery, more than one out of three affiliated prefer to give birth at home by themselves or with a traditional birth attendant.</w:t>
      </w:r>
      <w:r w:rsidRPr="00547EE1" w:rsidDel="00DC53D7">
        <w:rPr>
          <w:sz w:val="22"/>
        </w:rPr>
        <w:t xml:space="preserve"> </w:t>
      </w:r>
      <w:r w:rsidRPr="00547EE1">
        <w:rPr>
          <w:sz w:val="22"/>
        </w:rPr>
        <w:t xml:space="preserve">The situation is particularly critical in rural areas, where more than half women affiliated to SIS have a non institutional delivery. SIS attentions related to maternal health services from year 2005 to 2007 are shown in Table 17. </w:t>
      </w:r>
    </w:p>
    <w:p w:rsidR="00353ED4" w:rsidRPr="00815FA1" w:rsidRDefault="00353ED4" w:rsidP="003C3410">
      <w:pPr>
        <w:jc w:val="center"/>
        <w:rPr>
          <w:b/>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sidRPr="00815FA1">
        <w:rPr>
          <w:b/>
          <w:noProof/>
          <w:sz w:val="22"/>
        </w:rPr>
        <w:t>17</w:t>
      </w:r>
      <w:r w:rsidRPr="00815FA1">
        <w:rPr>
          <w:b/>
          <w:sz w:val="22"/>
        </w:rPr>
        <w:fldChar w:fldCharType="end"/>
      </w:r>
      <w:r w:rsidRPr="00815FA1">
        <w:rPr>
          <w:b/>
          <w:sz w:val="22"/>
        </w:rPr>
        <w:t>: SIS attentions 2005-2007</w:t>
      </w:r>
    </w:p>
    <w:tbl>
      <w:tblPr>
        <w:tblW w:w="5920" w:type="dxa"/>
        <w:jc w:val="center"/>
        <w:tblCellMar>
          <w:left w:w="70" w:type="dxa"/>
          <w:right w:w="70" w:type="dxa"/>
        </w:tblCellMar>
        <w:tblLook w:val="0000" w:firstRow="0" w:lastRow="0" w:firstColumn="0" w:lastColumn="0" w:noHBand="0" w:noVBand="0"/>
      </w:tblPr>
      <w:tblGrid>
        <w:gridCol w:w="1960"/>
        <w:gridCol w:w="1320"/>
        <w:gridCol w:w="1320"/>
        <w:gridCol w:w="1320"/>
      </w:tblGrid>
      <w:tr w:rsidR="00353ED4" w:rsidRPr="00815FA1">
        <w:trPr>
          <w:trHeight w:val="330"/>
          <w:jc w:val="center"/>
        </w:trPr>
        <w:tc>
          <w:tcPr>
            <w:tcW w:w="1960" w:type="dxa"/>
            <w:tcBorders>
              <w:top w:val="nil"/>
              <w:left w:val="nil"/>
              <w:bottom w:val="nil"/>
              <w:right w:val="nil"/>
            </w:tcBorders>
            <w:vAlign w:val="bottom"/>
          </w:tcPr>
          <w:p w:rsidR="00353ED4" w:rsidRPr="00815FA1" w:rsidRDefault="00353ED4" w:rsidP="003C3410">
            <w:pPr>
              <w:spacing w:before="0" w:after="0" w:line="240" w:lineRule="auto"/>
              <w:jc w:val="center"/>
              <w:rPr>
                <w:b/>
                <w:bCs/>
                <w:color w:val="000000"/>
                <w:sz w:val="22"/>
                <w:szCs w:val="22"/>
              </w:rPr>
            </w:pPr>
          </w:p>
        </w:tc>
        <w:tc>
          <w:tcPr>
            <w:tcW w:w="3960" w:type="dxa"/>
            <w:gridSpan w:val="3"/>
            <w:tcBorders>
              <w:top w:val="single" w:sz="8" w:space="0" w:color="auto"/>
              <w:left w:val="single" w:sz="8" w:space="0" w:color="auto"/>
              <w:bottom w:val="single" w:sz="8" w:space="0" w:color="auto"/>
              <w:right w:val="single" w:sz="4" w:space="0" w:color="auto"/>
            </w:tcBorders>
            <w:shd w:val="clear" w:color="auto" w:fill="4BACC6"/>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Year</w:t>
            </w:r>
          </w:p>
        </w:tc>
      </w:tr>
      <w:tr w:rsidR="00353ED4" w:rsidRPr="00815FA1">
        <w:trPr>
          <w:trHeight w:val="330"/>
          <w:jc w:val="center"/>
        </w:trPr>
        <w:tc>
          <w:tcPr>
            <w:tcW w:w="1960" w:type="dxa"/>
            <w:tcBorders>
              <w:top w:val="single" w:sz="8" w:space="0" w:color="auto"/>
              <w:left w:val="single" w:sz="8" w:space="0" w:color="auto"/>
              <w:bottom w:val="single" w:sz="4" w:space="0" w:color="auto"/>
              <w:right w:val="single" w:sz="8" w:space="0" w:color="auto"/>
            </w:tcBorders>
            <w:shd w:val="clear" w:color="auto" w:fill="B6DDE8"/>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SIS attentions</w:t>
            </w:r>
          </w:p>
        </w:tc>
        <w:tc>
          <w:tcPr>
            <w:tcW w:w="1320" w:type="dxa"/>
            <w:tcBorders>
              <w:top w:val="nil"/>
              <w:left w:val="nil"/>
              <w:bottom w:val="single" w:sz="8" w:space="0" w:color="auto"/>
              <w:right w:val="single" w:sz="4" w:space="0" w:color="auto"/>
            </w:tcBorders>
            <w:shd w:val="clear" w:color="auto" w:fill="B6DDE8"/>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2005</w:t>
            </w:r>
          </w:p>
        </w:tc>
        <w:tc>
          <w:tcPr>
            <w:tcW w:w="1320" w:type="dxa"/>
            <w:tcBorders>
              <w:top w:val="nil"/>
              <w:left w:val="nil"/>
              <w:bottom w:val="single" w:sz="8" w:space="0" w:color="auto"/>
              <w:right w:val="single" w:sz="4" w:space="0" w:color="auto"/>
            </w:tcBorders>
            <w:shd w:val="clear" w:color="auto" w:fill="B6DDE8"/>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2006</w:t>
            </w:r>
          </w:p>
        </w:tc>
        <w:tc>
          <w:tcPr>
            <w:tcW w:w="1320" w:type="dxa"/>
            <w:tcBorders>
              <w:top w:val="nil"/>
              <w:left w:val="nil"/>
              <w:bottom w:val="single" w:sz="8" w:space="0" w:color="auto"/>
              <w:right w:val="single" w:sz="4" w:space="0" w:color="auto"/>
            </w:tcBorders>
            <w:shd w:val="clear" w:color="auto" w:fill="B6DDE8"/>
            <w:vAlign w:val="bottom"/>
          </w:tcPr>
          <w:p w:rsidR="00353ED4" w:rsidRPr="00815FA1" w:rsidRDefault="00353ED4" w:rsidP="003C3410">
            <w:pPr>
              <w:spacing w:before="0" w:after="0" w:line="240" w:lineRule="auto"/>
              <w:jc w:val="center"/>
              <w:rPr>
                <w:b/>
                <w:bCs/>
                <w:color w:val="000000"/>
                <w:sz w:val="22"/>
                <w:szCs w:val="22"/>
              </w:rPr>
            </w:pPr>
            <w:r w:rsidRPr="00815FA1">
              <w:rPr>
                <w:b/>
                <w:bCs/>
                <w:color w:val="000000"/>
                <w:sz w:val="22"/>
                <w:szCs w:val="22"/>
              </w:rPr>
              <w:t>2007</w:t>
            </w:r>
          </w:p>
        </w:tc>
      </w:tr>
      <w:tr w:rsidR="00353ED4" w:rsidRPr="00815FA1">
        <w:trPr>
          <w:trHeight w:val="315"/>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Deliveries</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290,476</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281,123</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275,782</w:t>
            </w:r>
          </w:p>
        </w:tc>
      </w:tr>
      <w:tr w:rsidR="00353ED4" w:rsidRPr="00815FA1">
        <w:trPr>
          <w:trHeight w:val="315"/>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Cesarean sections</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51,762</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56,671</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58,752</w:t>
            </w:r>
          </w:p>
        </w:tc>
      </w:tr>
      <w:tr w:rsidR="00353ED4" w:rsidRPr="00815FA1">
        <w:trPr>
          <w:trHeight w:val="315"/>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Prenatal attentions</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1,587,762</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1,710,545</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1,779,591</w:t>
            </w:r>
          </w:p>
        </w:tc>
      </w:tr>
      <w:tr w:rsidR="00353ED4" w:rsidRPr="00815FA1">
        <w:trPr>
          <w:trHeight w:val="402"/>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Intensive Care Attentions</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722</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696</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663</w:t>
            </w:r>
          </w:p>
        </w:tc>
      </w:tr>
      <w:tr w:rsidR="00353ED4" w:rsidRPr="00815FA1">
        <w:trPr>
          <w:trHeight w:val="315"/>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Transfers</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22,742</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24,313</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25,787</w:t>
            </w:r>
          </w:p>
        </w:tc>
      </w:tr>
      <w:tr w:rsidR="00353ED4" w:rsidRPr="00815FA1">
        <w:trPr>
          <w:trHeight w:val="310"/>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Iron for pregnant women</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905,939</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1,171,043</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1,277,151</w:t>
            </w:r>
          </w:p>
        </w:tc>
      </w:tr>
      <w:tr w:rsidR="00353ED4" w:rsidRPr="00815FA1">
        <w:trPr>
          <w:trHeight w:val="248"/>
          <w:jc w:val="center"/>
        </w:trPr>
        <w:tc>
          <w:tcPr>
            <w:tcW w:w="1960" w:type="dxa"/>
            <w:tcBorders>
              <w:top w:val="nil"/>
              <w:left w:val="single" w:sz="8" w:space="0" w:color="auto"/>
              <w:bottom w:val="single" w:sz="4"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Complicated pregnancy or post-delivery</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160,993</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179,747</w:t>
            </w:r>
          </w:p>
        </w:tc>
        <w:tc>
          <w:tcPr>
            <w:tcW w:w="1320" w:type="dxa"/>
            <w:tcBorders>
              <w:top w:val="nil"/>
              <w:left w:val="nil"/>
              <w:bottom w:val="single" w:sz="4"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188,428</w:t>
            </w:r>
          </w:p>
        </w:tc>
      </w:tr>
      <w:tr w:rsidR="00353ED4" w:rsidRPr="00815FA1">
        <w:trPr>
          <w:trHeight w:val="561"/>
          <w:jc w:val="center"/>
        </w:trPr>
        <w:tc>
          <w:tcPr>
            <w:tcW w:w="1960" w:type="dxa"/>
            <w:tcBorders>
              <w:top w:val="nil"/>
              <w:left w:val="single" w:sz="8" w:space="0" w:color="auto"/>
              <w:bottom w:val="single" w:sz="8" w:space="0" w:color="auto"/>
              <w:right w:val="single" w:sz="8" w:space="0" w:color="auto"/>
            </w:tcBorders>
            <w:vAlign w:val="bottom"/>
          </w:tcPr>
          <w:p w:rsidR="00353ED4" w:rsidRPr="00815FA1" w:rsidRDefault="00353ED4" w:rsidP="003C3410">
            <w:pPr>
              <w:spacing w:before="0" w:after="0" w:line="240" w:lineRule="auto"/>
              <w:rPr>
                <w:color w:val="000000"/>
                <w:sz w:val="22"/>
                <w:szCs w:val="22"/>
              </w:rPr>
            </w:pPr>
            <w:r w:rsidRPr="00815FA1">
              <w:rPr>
                <w:color w:val="000000"/>
                <w:sz w:val="22"/>
                <w:szCs w:val="22"/>
              </w:rPr>
              <w:t>Post-delivery attentions</w:t>
            </w:r>
          </w:p>
        </w:tc>
        <w:tc>
          <w:tcPr>
            <w:tcW w:w="1320" w:type="dxa"/>
            <w:tcBorders>
              <w:top w:val="nil"/>
              <w:left w:val="nil"/>
              <w:bottom w:val="single" w:sz="8"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294,221</w:t>
            </w:r>
          </w:p>
        </w:tc>
        <w:tc>
          <w:tcPr>
            <w:tcW w:w="1320" w:type="dxa"/>
            <w:tcBorders>
              <w:top w:val="nil"/>
              <w:left w:val="nil"/>
              <w:bottom w:val="single" w:sz="8"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304,296</w:t>
            </w:r>
          </w:p>
        </w:tc>
        <w:tc>
          <w:tcPr>
            <w:tcW w:w="1320" w:type="dxa"/>
            <w:tcBorders>
              <w:top w:val="nil"/>
              <w:left w:val="nil"/>
              <w:bottom w:val="single" w:sz="8" w:space="0" w:color="auto"/>
              <w:right w:val="single" w:sz="4" w:space="0" w:color="auto"/>
            </w:tcBorders>
            <w:vAlign w:val="center"/>
          </w:tcPr>
          <w:p w:rsidR="00353ED4" w:rsidRPr="00815FA1" w:rsidRDefault="00353ED4" w:rsidP="003C3410">
            <w:pPr>
              <w:spacing w:before="0" w:after="0" w:line="240" w:lineRule="auto"/>
              <w:rPr>
                <w:color w:val="000000"/>
                <w:sz w:val="22"/>
                <w:szCs w:val="22"/>
              </w:rPr>
            </w:pPr>
            <w:r w:rsidRPr="00815FA1">
              <w:rPr>
                <w:color w:val="000000"/>
                <w:sz w:val="22"/>
                <w:szCs w:val="22"/>
              </w:rPr>
              <w:t>310,590</w:t>
            </w:r>
          </w:p>
        </w:tc>
      </w:tr>
    </w:tbl>
    <w:p w:rsidR="00353ED4" w:rsidRPr="00815FA1" w:rsidRDefault="00353ED4" w:rsidP="003C3410">
      <w:pPr>
        <w:ind w:left="708" w:firstLine="708"/>
        <w:rPr>
          <w:rStyle w:val="apple-style-span"/>
          <w:rFonts w:cs="Tahoma"/>
          <w:sz w:val="22"/>
          <w:szCs w:val="22"/>
        </w:rPr>
      </w:pPr>
      <w:r w:rsidRPr="00815FA1">
        <w:rPr>
          <w:rStyle w:val="apple-style-span"/>
          <w:rFonts w:cs="Tahoma"/>
          <w:sz w:val="22"/>
          <w:szCs w:val="22"/>
        </w:rPr>
        <w:t>Source: SIS</w:t>
      </w:r>
    </w:p>
    <w:p w:rsidR="00353ED4" w:rsidRPr="00815FA1" w:rsidRDefault="00353ED4" w:rsidP="003C3410">
      <w:pPr>
        <w:rPr>
          <w:rStyle w:val="apple-style-span"/>
          <w:rFonts w:cs="Tahoma"/>
          <w:sz w:val="22"/>
          <w:szCs w:val="22"/>
        </w:rPr>
      </w:pPr>
    </w:p>
    <w:p w:rsidR="00353ED4" w:rsidRPr="00547EE1" w:rsidRDefault="00353ED4" w:rsidP="00547EE1">
      <w:pPr>
        <w:ind w:left="567"/>
        <w:jc w:val="both"/>
        <w:rPr>
          <w:sz w:val="24"/>
        </w:rPr>
      </w:pPr>
      <w:r w:rsidRPr="00547EE1">
        <w:rPr>
          <w:sz w:val="22"/>
        </w:rPr>
        <w:t>Even though the delivery attentions have drop since 2005, the number of cesarean sections has increased importantly, as well as the number of prenatal attentions and the provision of iron for pregnant women. This is probably showing that the maternal care has become more complete in a sense that it attends women not only during delivery but during the entire process of pregnancy, delivery and post-delivery. Prenatal checkups could be more important now because of the Juntos program, the government’s conditional cash transfer program, has the attendance to these checkups as mandatory to receive the benefits of the program. Juntos started in 2006.</w:t>
      </w:r>
    </w:p>
    <w:p w:rsidR="00353ED4" w:rsidRPr="00815FA1" w:rsidRDefault="00353ED4" w:rsidP="003C3410">
      <w:pPr>
        <w:pStyle w:val="Prrafodelista2"/>
        <w:numPr>
          <w:ilvl w:val="0"/>
          <w:numId w:val="17"/>
        </w:numPr>
        <w:jc w:val="both"/>
        <w:rPr>
          <w:rStyle w:val="nfasisintenso1"/>
          <w:b w:val="0"/>
          <w:caps w:val="0"/>
          <w:color w:val="auto"/>
          <w:spacing w:val="0"/>
        </w:rPr>
      </w:pPr>
      <w:r w:rsidRPr="00815FA1">
        <w:rPr>
          <w:rStyle w:val="nfasisintenso1"/>
          <w:b w:val="0"/>
          <w:bCs/>
        </w:rPr>
        <w:t xml:space="preserve">Supply RESOURCES </w:t>
      </w:r>
    </w:p>
    <w:p w:rsidR="00353ED4" w:rsidRPr="00547EE1" w:rsidRDefault="00353ED4" w:rsidP="0064113F">
      <w:pPr>
        <w:ind w:left="567"/>
        <w:jc w:val="both"/>
        <w:rPr>
          <w:sz w:val="22"/>
        </w:rPr>
      </w:pPr>
      <w:r w:rsidRPr="00547EE1">
        <w:rPr>
          <w:sz w:val="22"/>
        </w:rPr>
        <w:t xml:space="preserve">To analyze the availability of MINSA´s infrastructure specialized in maternal care, Table </w:t>
      </w:r>
      <w:r>
        <w:rPr>
          <w:sz w:val="22"/>
        </w:rPr>
        <w:t>18</w:t>
      </w:r>
      <w:r w:rsidRPr="00547EE1">
        <w:rPr>
          <w:sz w:val="22"/>
        </w:rPr>
        <w:t xml:space="preserve"> presents the latest FON evaluation. FON st</w:t>
      </w:r>
      <w:r>
        <w:rPr>
          <w:sz w:val="22"/>
        </w:rPr>
        <w:t>ands</w:t>
      </w:r>
      <w:r w:rsidRPr="00547EE1">
        <w:rPr>
          <w:sz w:val="22"/>
        </w:rPr>
        <w:t xml:space="preserve"> for Obstetrical and Neonatal Functions (Funciones Obstétricas y Neonatales in Spanish). MINSA performs evaluations of the capacity of resolution for establishments with FON since 2007 (authorized to perform obstetric and neonatal interventions).</w:t>
      </w:r>
    </w:p>
    <w:p w:rsidR="00353ED4" w:rsidRPr="00547EE1" w:rsidRDefault="00353ED4" w:rsidP="00547EE1">
      <w:pPr>
        <w:ind w:left="567"/>
        <w:jc w:val="both"/>
        <w:rPr>
          <w:sz w:val="22"/>
        </w:rPr>
      </w:pPr>
      <w:r w:rsidRPr="00547EE1">
        <w:rPr>
          <w:sz w:val="22"/>
        </w:rPr>
        <w:t>There are four types of FON according to their level of complexity, from the simpler to the most complex one: Primary Obstetrical and Neonatal Functions (FONP), Basic Obstetrical and Neonatal Functions (FONB), Essential Obstetrical and Neonatal Functions (FONE) and Intensive Obstetrical and Neonatal Functions (FONI)</w:t>
      </w:r>
      <w:r w:rsidRPr="00490BC1">
        <w:rPr>
          <w:sz w:val="22"/>
          <w:vertAlign w:val="superscript"/>
        </w:rPr>
        <w:footnoteReference w:id="10"/>
      </w:r>
      <w:r w:rsidRPr="00547EE1">
        <w:rPr>
          <w:sz w:val="22"/>
        </w:rPr>
        <w:t>.</w:t>
      </w:r>
    </w:p>
    <w:p w:rsidR="00353ED4" w:rsidRPr="00547EE1" w:rsidRDefault="00353ED4" w:rsidP="00547EE1">
      <w:pPr>
        <w:ind w:left="567"/>
        <w:jc w:val="both"/>
        <w:rPr>
          <w:sz w:val="22"/>
        </w:rPr>
      </w:pPr>
      <w:r w:rsidRPr="00547EE1">
        <w:rPr>
          <w:sz w:val="22"/>
        </w:rPr>
        <w:t xml:space="preserve">Table </w:t>
      </w:r>
      <w:r>
        <w:rPr>
          <w:sz w:val="22"/>
        </w:rPr>
        <w:t>18</w:t>
      </w:r>
      <w:r w:rsidRPr="00547EE1">
        <w:rPr>
          <w:sz w:val="22"/>
        </w:rPr>
        <w:t xml:space="preserve"> presents the results from the FON evaluation for Capacity of Resolution (CR) at a national level for all available MINSA’s Health Directions.</w:t>
      </w:r>
    </w:p>
    <w:p w:rsidR="00353ED4" w:rsidRDefault="00353ED4" w:rsidP="00180B26">
      <w:pPr>
        <w:pStyle w:val="Epgrafe"/>
        <w:jc w:val="center"/>
        <w:rPr>
          <w:color w:val="auto"/>
          <w:sz w:val="22"/>
        </w:rPr>
      </w:pPr>
    </w:p>
    <w:p w:rsidR="00353ED4" w:rsidRDefault="00353ED4" w:rsidP="00180B26">
      <w:pPr>
        <w:pStyle w:val="Epgrafe"/>
        <w:jc w:val="center"/>
        <w:rPr>
          <w:color w:val="auto"/>
          <w:sz w:val="22"/>
        </w:rPr>
      </w:pPr>
    </w:p>
    <w:p w:rsidR="00353ED4" w:rsidRDefault="00353ED4" w:rsidP="00180B26">
      <w:pPr>
        <w:pStyle w:val="Epgrafe"/>
        <w:jc w:val="center"/>
        <w:rPr>
          <w:color w:val="auto"/>
          <w:sz w:val="22"/>
        </w:rPr>
      </w:pPr>
    </w:p>
    <w:p w:rsidR="00353ED4" w:rsidRDefault="00353ED4" w:rsidP="00180B26">
      <w:pPr>
        <w:pStyle w:val="Epgrafe"/>
        <w:jc w:val="center"/>
        <w:rPr>
          <w:color w:val="auto"/>
          <w:sz w:val="22"/>
        </w:rPr>
      </w:pPr>
    </w:p>
    <w:p w:rsidR="00353ED4" w:rsidRDefault="00353ED4" w:rsidP="00180B26">
      <w:pPr>
        <w:pStyle w:val="Epgrafe"/>
        <w:jc w:val="center"/>
        <w:rPr>
          <w:color w:val="auto"/>
          <w:sz w:val="22"/>
        </w:rPr>
      </w:pPr>
    </w:p>
    <w:p w:rsidR="00353ED4" w:rsidRPr="00815FA1" w:rsidRDefault="00353ED4" w:rsidP="00180B26">
      <w:pPr>
        <w:pStyle w:val="Epgrafe"/>
        <w:jc w:val="center"/>
        <w:rPr>
          <w:color w:val="auto"/>
          <w:sz w:val="22"/>
        </w:rPr>
      </w:pPr>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18</w:t>
      </w:r>
      <w:r w:rsidRPr="00815FA1">
        <w:rPr>
          <w:color w:val="auto"/>
          <w:sz w:val="22"/>
        </w:rPr>
        <w:fldChar w:fldCharType="end"/>
      </w:r>
      <w:r w:rsidRPr="00815FA1">
        <w:rPr>
          <w:color w:val="auto"/>
          <w:sz w:val="22"/>
        </w:rPr>
        <w:t>: Results from FON evaluation all available Health Directions 1/</w:t>
      </w:r>
    </w:p>
    <w:tbl>
      <w:tblPr>
        <w:tblW w:w="8739" w:type="dxa"/>
        <w:tblInd w:w="-68" w:type="dxa"/>
        <w:tblCellMar>
          <w:left w:w="70" w:type="dxa"/>
          <w:right w:w="70" w:type="dxa"/>
        </w:tblCellMar>
        <w:tblLook w:val="0000" w:firstRow="0" w:lastRow="0" w:firstColumn="0" w:lastColumn="0" w:noHBand="0" w:noVBand="0"/>
      </w:tblPr>
      <w:tblGrid>
        <w:gridCol w:w="2508"/>
        <w:gridCol w:w="2542"/>
        <w:gridCol w:w="1995"/>
        <w:gridCol w:w="74"/>
        <w:gridCol w:w="1620"/>
      </w:tblGrid>
      <w:tr w:rsidR="00353ED4" w:rsidRPr="00815FA1">
        <w:trPr>
          <w:trHeight w:val="345"/>
        </w:trPr>
        <w:tc>
          <w:tcPr>
            <w:tcW w:w="5050" w:type="dxa"/>
            <w:gridSpan w:val="2"/>
            <w:tcBorders>
              <w:top w:val="nil"/>
              <w:bottom w:val="single" w:sz="12"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p>
        </w:tc>
        <w:tc>
          <w:tcPr>
            <w:tcW w:w="1995" w:type="dxa"/>
            <w:tcBorders>
              <w:top w:val="single" w:sz="12" w:space="0" w:color="auto"/>
              <w:left w:val="nil"/>
              <w:bottom w:val="single" w:sz="12" w:space="0" w:color="auto"/>
              <w:right w:val="single" w:sz="12" w:space="0" w:color="auto"/>
            </w:tcBorders>
            <w:shd w:val="clear" w:color="auto" w:fill="297083"/>
            <w:noWrap/>
            <w:vAlign w:val="center"/>
          </w:tcPr>
          <w:p w:rsidR="00353ED4" w:rsidRPr="00815FA1" w:rsidRDefault="00353ED4" w:rsidP="00A133F6">
            <w:pPr>
              <w:spacing w:after="0" w:line="240" w:lineRule="auto"/>
              <w:jc w:val="center"/>
              <w:rPr>
                <w:rFonts w:ascii="Arial Narrow" w:hAnsi="Arial Narrow"/>
                <w:b/>
              </w:rPr>
            </w:pPr>
            <w:r w:rsidRPr="00815FA1">
              <w:rPr>
                <w:rFonts w:ascii="Arial Narrow" w:hAnsi="Arial Narrow"/>
                <w:b/>
              </w:rPr>
              <w:t>2007</w:t>
            </w:r>
          </w:p>
        </w:tc>
        <w:tc>
          <w:tcPr>
            <w:tcW w:w="1694" w:type="dxa"/>
            <w:gridSpan w:val="2"/>
            <w:tcBorders>
              <w:top w:val="single" w:sz="12" w:space="0" w:color="auto"/>
              <w:left w:val="single" w:sz="12" w:space="0" w:color="auto"/>
              <w:bottom w:val="single" w:sz="12" w:space="0" w:color="auto"/>
              <w:right w:val="single" w:sz="12" w:space="0" w:color="000000"/>
            </w:tcBorders>
            <w:shd w:val="clear" w:color="auto" w:fill="297083"/>
            <w:vAlign w:val="center"/>
          </w:tcPr>
          <w:p w:rsidR="00353ED4" w:rsidRPr="00815FA1" w:rsidRDefault="00353ED4" w:rsidP="00A133F6">
            <w:pPr>
              <w:spacing w:after="0" w:line="240" w:lineRule="auto"/>
              <w:jc w:val="center"/>
              <w:rPr>
                <w:rFonts w:ascii="Arial Narrow" w:hAnsi="Arial Narrow"/>
                <w:b/>
              </w:rPr>
            </w:pPr>
            <w:r w:rsidRPr="00815FA1">
              <w:rPr>
                <w:rFonts w:ascii="Arial Narrow" w:hAnsi="Arial Narrow"/>
                <w:b/>
              </w:rPr>
              <w:t>2008</w:t>
            </w:r>
          </w:p>
        </w:tc>
      </w:tr>
      <w:tr w:rsidR="00353ED4" w:rsidRPr="00815FA1">
        <w:trPr>
          <w:trHeight w:val="345"/>
        </w:trPr>
        <w:tc>
          <w:tcPr>
            <w:tcW w:w="5050" w:type="dxa"/>
            <w:gridSpan w:val="2"/>
            <w:tcBorders>
              <w:top w:val="single" w:sz="12" w:space="0" w:color="auto"/>
              <w:left w:val="single" w:sz="12" w:space="0" w:color="auto"/>
              <w:bottom w:val="single" w:sz="12"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Total MINSA’s establishments</w:t>
            </w:r>
          </w:p>
        </w:tc>
        <w:tc>
          <w:tcPr>
            <w:tcW w:w="3689" w:type="dxa"/>
            <w:gridSpan w:val="3"/>
            <w:tcBorders>
              <w:top w:val="single" w:sz="12" w:space="0" w:color="auto"/>
              <w:left w:val="nil"/>
              <w:bottom w:val="single" w:sz="12" w:space="0" w:color="auto"/>
              <w:right w:val="single" w:sz="12" w:space="0" w:color="000000"/>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6486</w:t>
            </w:r>
          </w:p>
        </w:tc>
      </w:tr>
      <w:tr w:rsidR="00353ED4" w:rsidRPr="00815FA1">
        <w:trPr>
          <w:trHeight w:val="330"/>
        </w:trPr>
        <w:tc>
          <w:tcPr>
            <w:tcW w:w="2508" w:type="dxa"/>
            <w:vMerge w:val="restart"/>
            <w:tcBorders>
              <w:top w:val="single" w:sz="12" w:space="0" w:color="auto"/>
              <w:left w:val="single" w:sz="12" w:space="0" w:color="auto"/>
              <w:bottom w:val="single" w:sz="12" w:space="0" w:color="000000"/>
              <w:right w:val="single" w:sz="8"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Number of evaluated establishments with FON</w:t>
            </w:r>
          </w:p>
        </w:tc>
        <w:tc>
          <w:tcPr>
            <w:tcW w:w="2542" w:type="dxa"/>
            <w:tcBorders>
              <w:top w:val="nil"/>
              <w:left w:val="nil"/>
              <w:bottom w:val="single" w:sz="8" w:space="0" w:color="auto"/>
              <w:right w:val="single" w:sz="12"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FONP</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3611</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3773</w:t>
            </w:r>
          </w:p>
        </w:tc>
      </w:tr>
      <w:tr w:rsidR="00353ED4" w:rsidRPr="00815FA1">
        <w:trPr>
          <w:trHeight w:val="315"/>
        </w:trPr>
        <w:tc>
          <w:tcPr>
            <w:tcW w:w="2508" w:type="dxa"/>
            <w:vMerge/>
            <w:tcBorders>
              <w:top w:val="single" w:sz="12" w:space="0" w:color="auto"/>
              <w:left w:val="single" w:sz="12" w:space="0" w:color="auto"/>
              <w:bottom w:val="single" w:sz="12" w:space="0" w:color="000000"/>
              <w:right w:val="single" w:sz="8" w:space="0" w:color="000000"/>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nil"/>
              <w:left w:val="nil"/>
              <w:bottom w:val="single" w:sz="8" w:space="0" w:color="auto"/>
              <w:right w:val="single" w:sz="12"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FONB</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455</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472</w:t>
            </w:r>
          </w:p>
        </w:tc>
      </w:tr>
      <w:tr w:rsidR="00353ED4" w:rsidRPr="00815FA1">
        <w:trPr>
          <w:trHeight w:val="330"/>
        </w:trPr>
        <w:tc>
          <w:tcPr>
            <w:tcW w:w="2508" w:type="dxa"/>
            <w:vMerge/>
            <w:tcBorders>
              <w:top w:val="single" w:sz="12" w:space="0" w:color="auto"/>
              <w:left w:val="single" w:sz="12" w:space="0" w:color="auto"/>
              <w:bottom w:val="single" w:sz="12" w:space="0" w:color="000000"/>
              <w:right w:val="single" w:sz="8" w:space="0" w:color="000000"/>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nil"/>
              <w:left w:val="nil"/>
              <w:bottom w:val="single" w:sz="8" w:space="0" w:color="auto"/>
              <w:right w:val="single" w:sz="12"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FONE</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72</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85</w:t>
            </w:r>
          </w:p>
        </w:tc>
      </w:tr>
      <w:tr w:rsidR="00353ED4" w:rsidRPr="00815FA1">
        <w:trPr>
          <w:trHeight w:val="330"/>
        </w:trPr>
        <w:tc>
          <w:tcPr>
            <w:tcW w:w="2508" w:type="dxa"/>
            <w:vMerge/>
            <w:tcBorders>
              <w:top w:val="single" w:sz="12" w:space="0" w:color="auto"/>
              <w:left w:val="single" w:sz="12" w:space="0" w:color="auto"/>
              <w:bottom w:val="single" w:sz="12" w:space="0" w:color="000000"/>
              <w:right w:val="single" w:sz="8" w:space="0" w:color="000000"/>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nil"/>
              <w:left w:val="nil"/>
              <w:bottom w:val="single" w:sz="8" w:space="0" w:color="auto"/>
              <w:right w:val="single" w:sz="12"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FONI</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w:t>
            </w:r>
          </w:p>
        </w:tc>
      </w:tr>
      <w:tr w:rsidR="00353ED4" w:rsidRPr="00815FA1">
        <w:trPr>
          <w:trHeight w:val="315"/>
        </w:trPr>
        <w:tc>
          <w:tcPr>
            <w:tcW w:w="2508" w:type="dxa"/>
            <w:vMerge/>
            <w:tcBorders>
              <w:top w:val="single" w:sz="12" w:space="0" w:color="auto"/>
              <w:left w:val="single" w:sz="12" w:space="0" w:color="auto"/>
              <w:bottom w:val="single" w:sz="12" w:space="0" w:color="000000"/>
              <w:right w:val="single" w:sz="8" w:space="0" w:color="000000"/>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nil"/>
              <w:left w:val="nil"/>
              <w:bottom w:val="single" w:sz="12" w:space="0" w:color="auto"/>
              <w:right w:val="single" w:sz="12"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TOTAL</w:t>
            </w:r>
          </w:p>
        </w:tc>
        <w:tc>
          <w:tcPr>
            <w:tcW w:w="2069" w:type="dxa"/>
            <w:gridSpan w:val="2"/>
            <w:tcBorders>
              <w:top w:val="nil"/>
              <w:left w:val="nil"/>
              <w:bottom w:val="single" w:sz="12"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4139</w:t>
            </w:r>
          </w:p>
        </w:tc>
        <w:tc>
          <w:tcPr>
            <w:tcW w:w="1620" w:type="dxa"/>
            <w:tcBorders>
              <w:top w:val="nil"/>
              <w:left w:val="nil"/>
              <w:bottom w:val="single" w:sz="12"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4331</w:t>
            </w:r>
          </w:p>
        </w:tc>
      </w:tr>
      <w:tr w:rsidR="00353ED4" w:rsidRPr="00815FA1">
        <w:trPr>
          <w:trHeight w:val="330"/>
        </w:trPr>
        <w:tc>
          <w:tcPr>
            <w:tcW w:w="2508" w:type="dxa"/>
            <w:vMerge w:val="restart"/>
            <w:tcBorders>
              <w:top w:val="single" w:sz="4" w:space="0" w:color="auto"/>
              <w:left w:val="single" w:sz="12" w:space="0" w:color="auto"/>
              <w:bottom w:val="single" w:sz="12" w:space="0" w:color="000000"/>
              <w:right w:val="single" w:sz="8" w:space="0" w:color="auto"/>
            </w:tcBorders>
            <w:shd w:val="clear" w:color="auto" w:fill="FFFFFF"/>
            <w:noWrap/>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Capacity of Resolution (CR)</w:t>
            </w:r>
          </w:p>
        </w:tc>
        <w:tc>
          <w:tcPr>
            <w:tcW w:w="2542" w:type="dxa"/>
            <w:tcBorders>
              <w:top w:val="single" w:sz="4"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CR larger than 80% for FONP</w:t>
            </w:r>
          </w:p>
        </w:tc>
        <w:tc>
          <w:tcPr>
            <w:tcW w:w="2069" w:type="dxa"/>
            <w:gridSpan w:val="2"/>
            <w:tcBorders>
              <w:top w:val="single" w:sz="4" w:space="0" w:color="auto"/>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852</w:t>
            </w:r>
          </w:p>
        </w:tc>
        <w:tc>
          <w:tcPr>
            <w:tcW w:w="1620" w:type="dxa"/>
            <w:tcBorders>
              <w:top w:val="single" w:sz="4" w:space="0" w:color="auto"/>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955</w:t>
            </w:r>
          </w:p>
        </w:tc>
      </w:tr>
      <w:tr w:rsidR="00353ED4" w:rsidRPr="00815FA1">
        <w:trPr>
          <w:trHeight w:val="315"/>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CR larger than 80% for FONB</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164</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187</w:t>
            </w:r>
          </w:p>
        </w:tc>
      </w:tr>
      <w:tr w:rsidR="00353ED4" w:rsidRPr="00815FA1">
        <w:trPr>
          <w:trHeight w:val="315"/>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CR larger than 80% for FONE</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38</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49</w:t>
            </w:r>
          </w:p>
        </w:tc>
      </w:tr>
      <w:tr w:rsidR="00353ED4" w:rsidRPr="00815FA1">
        <w:trPr>
          <w:trHeight w:val="315"/>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CR larger than 80% for FONI</w:t>
            </w:r>
          </w:p>
        </w:tc>
        <w:tc>
          <w:tcPr>
            <w:tcW w:w="2069" w:type="dxa"/>
            <w:gridSpan w:val="2"/>
            <w:tcBorders>
              <w:top w:val="nil"/>
              <w:left w:val="nil"/>
              <w:bottom w:val="nil"/>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w:t>
            </w:r>
          </w:p>
        </w:tc>
        <w:tc>
          <w:tcPr>
            <w:tcW w:w="1620" w:type="dxa"/>
            <w:tcBorders>
              <w:top w:val="nil"/>
              <w:left w:val="nil"/>
              <w:bottom w:val="nil"/>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w:t>
            </w:r>
          </w:p>
        </w:tc>
      </w:tr>
      <w:tr w:rsidR="00353ED4" w:rsidRPr="00815FA1">
        <w:trPr>
          <w:trHeight w:val="600"/>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12"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CR larger than 80% for FON</w:t>
            </w:r>
          </w:p>
        </w:tc>
        <w:tc>
          <w:tcPr>
            <w:tcW w:w="2069" w:type="dxa"/>
            <w:gridSpan w:val="2"/>
            <w:tcBorders>
              <w:top w:val="nil"/>
              <w:left w:val="nil"/>
              <w:bottom w:val="single" w:sz="12"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1055</w:t>
            </w:r>
          </w:p>
        </w:tc>
        <w:tc>
          <w:tcPr>
            <w:tcW w:w="1620" w:type="dxa"/>
            <w:tcBorders>
              <w:top w:val="nil"/>
              <w:left w:val="nil"/>
              <w:bottom w:val="single" w:sz="12"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1192</w:t>
            </w:r>
          </w:p>
        </w:tc>
      </w:tr>
      <w:tr w:rsidR="00353ED4" w:rsidRPr="00815FA1">
        <w:trPr>
          <w:trHeight w:val="429"/>
        </w:trPr>
        <w:tc>
          <w:tcPr>
            <w:tcW w:w="2508" w:type="dxa"/>
            <w:vMerge w:val="restart"/>
            <w:tcBorders>
              <w:top w:val="nil"/>
              <w:left w:val="single" w:sz="12" w:space="0" w:color="auto"/>
              <w:bottom w:val="single" w:sz="12" w:space="0" w:color="000000"/>
              <w:right w:val="single" w:sz="8" w:space="0" w:color="auto"/>
            </w:tcBorders>
            <w:shd w:val="clear" w:color="auto" w:fill="FFFFFF"/>
            <w:vAlign w:val="center"/>
          </w:tcPr>
          <w:p w:rsidR="00353ED4" w:rsidRPr="00815FA1" w:rsidRDefault="00353ED4" w:rsidP="00AB7980">
            <w:pPr>
              <w:spacing w:after="0" w:line="240" w:lineRule="auto"/>
              <w:rPr>
                <w:rFonts w:ascii="Arial Narrow" w:hAnsi="Arial Narrow"/>
                <w:i/>
                <w:color w:val="000000"/>
              </w:rPr>
            </w:pPr>
            <w:r w:rsidRPr="00815FA1">
              <w:rPr>
                <w:rFonts w:ascii="Arial Narrow" w:hAnsi="Arial Narrow"/>
                <w:i/>
                <w:color w:val="000000"/>
              </w:rPr>
              <w:t>%  of FON  Health Establishments with adequate CR</w:t>
            </w:r>
          </w:p>
        </w:tc>
        <w:tc>
          <w:tcPr>
            <w:tcW w:w="2542" w:type="dxa"/>
            <w:tcBorders>
              <w:top w:val="single" w:sz="12"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FONP</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25.31</w:t>
            </w:r>
          </w:p>
        </w:tc>
      </w:tr>
      <w:tr w:rsidR="00353ED4" w:rsidRPr="00815FA1">
        <w:trPr>
          <w:trHeight w:val="329"/>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FONB</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39.62</w:t>
            </w:r>
          </w:p>
        </w:tc>
      </w:tr>
      <w:tr w:rsidR="00353ED4" w:rsidRPr="00815FA1">
        <w:trPr>
          <w:trHeight w:val="336"/>
        </w:trPr>
        <w:tc>
          <w:tcPr>
            <w:tcW w:w="2508" w:type="dxa"/>
            <w:vMerge/>
            <w:tcBorders>
              <w:top w:val="nil"/>
              <w:left w:val="single" w:sz="12" w:space="0" w:color="auto"/>
              <w:bottom w:val="single" w:sz="12" w:space="0" w:color="000000"/>
              <w:right w:val="single" w:sz="8" w:space="0" w:color="auto"/>
            </w:tcBorders>
            <w:vAlign w:val="center"/>
          </w:tcPr>
          <w:p w:rsidR="00353ED4" w:rsidRPr="00815FA1" w:rsidRDefault="00353ED4" w:rsidP="00A133F6">
            <w:pPr>
              <w:spacing w:after="0" w:line="240" w:lineRule="auto"/>
              <w:jc w:val="both"/>
              <w:rPr>
                <w:rFonts w:ascii="Arial Narrow" w:hAnsi="Arial Narrow"/>
                <w:i/>
                <w:color w:val="000000"/>
              </w:rPr>
            </w:pPr>
          </w:p>
        </w:tc>
        <w:tc>
          <w:tcPr>
            <w:tcW w:w="2542" w:type="dxa"/>
            <w:tcBorders>
              <w:top w:val="single" w:sz="8" w:space="0" w:color="auto"/>
              <w:left w:val="nil"/>
              <w:bottom w:val="single" w:sz="12"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FONE</w:t>
            </w:r>
          </w:p>
        </w:tc>
        <w:tc>
          <w:tcPr>
            <w:tcW w:w="2069" w:type="dxa"/>
            <w:gridSpan w:val="2"/>
            <w:tcBorders>
              <w:top w:val="nil"/>
              <w:left w:val="nil"/>
              <w:bottom w:val="single" w:sz="12"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p>
        </w:tc>
        <w:tc>
          <w:tcPr>
            <w:tcW w:w="1620" w:type="dxa"/>
            <w:tcBorders>
              <w:top w:val="nil"/>
              <w:left w:val="nil"/>
              <w:bottom w:val="single" w:sz="12"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57.65</w:t>
            </w:r>
          </w:p>
        </w:tc>
      </w:tr>
      <w:tr w:rsidR="00353ED4" w:rsidRPr="00815FA1">
        <w:trPr>
          <w:trHeight w:val="540"/>
        </w:trPr>
        <w:tc>
          <w:tcPr>
            <w:tcW w:w="5050" w:type="dxa"/>
            <w:gridSpan w:val="2"/>
            <w:tcBorders>
              <w:top w:val="single" w:sz="12" w:space="0" w:color="auto"/>
              <w:left w:val="single" w:sz="12" w:space="0" w:color="auto"/>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 of Health Establishments that applied FON evaluation</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63.80</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66.77</w:t>
            </w:r>
          </w:p>
        </w:tc>
      </w:tr>
      <w:tr w:rsidR="00353ED4" w:rsidRPr="00815FA1">
        <w:trPr>
          <w:trHeight w:val="473"/>
        </w:trPr>
        <w:tc>
          <w:tcPr>
            <w:tcW w:w="5050" w:type="dxa"/>
            <w:gridSpan w:val="2"/>
            <w:tcBorders>
              <w:top w:val="single" w:sz="8" w:space="0" w:color="auto"/>
              <w:left w:val="single" w:sz="12" w:space="0" w:color="auto"/>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 of Health Establishments with more than 80% of CR</w:t>
            </w:r>
          </w:p>
        </w:tc>
        <w:tc>
          <w:tcPr>
            <w:tcW w:w="2069" w:type="dxa"/>
            <w:gridSpan w:val="2"/>
            <w:tcBorders>
              <w:top w:val="nil"/>
              <w:left w:val="nil"/>
              <w:bottom w:val="single" w:sz="8" w:space="0" w:color="auto"/>
              <w:right w:val="single" w:sz="8"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25.50</w:t>
            </w:r>
          </w:p>
        </w:tc>
        <w:tc>
          <w:tcPr>
            <w:tcW w:w="1620" w:type="dxa"/>
            <w:tcBorders>
              <w:top w:val="nil"/>
              <w:left w:val="nil"/>
              <w:bottom w:val="single" w:sz="8" w:space="0" w:color="auto"/>
              <w:right w:val="single" w:sz="12" w:space="0" w:color="auto"/>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27.50</w:t>
            </w:r>
          </w:p>
        </w:tc>
      </w:tr>
      <w:tr w:rsidR="00353ED4" w:rsidRPr="00815FA1">
        <w:trPr>
          <w:trHeight w:val="524"/>
        </w:trPr>
        <w:tc>
          <w:tcPr>
            <w:tcW w:w="5050" w:type="dxa"/>
            <w:gridSpan w:val="2"/>
            <w:tcBorders>
              <w:top w:val="single" w:sz="8" w:space="0" w:color="auto"/>
              <w:left w:val="single" w:sz="12" w:space="0" w:color="auto"/>
              <w:bottom w:val="single" w:sz="8"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Percentage of Advance in FON Application</w:t>
            </w:r>
          </w:p>
        </w:tc>
        <w:tc>
          <w:tcPr>
            <w:tcW w:w="3689" w:type="dxa"/>
            <w:gridSpan w:val="3"/>
            <w:tcBorders>
              <w:top w:val="single" w:sz="8" w:space="0" w:color="auto"/>
              <w:left w:val="nil"/>
              <w:bottom w:val="single" w:sz="8" w:space="0" w:color="auto"/>
              <w:right w:val="single" w:sz="12" w:space="0" w:color="000000"/>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2.98</w:t>
            </w:r>
          </w:p>
        </w:tc>
      </w:tr>
      <w:tr w:rsidR="00353ED4" w:rsidRPr="00815FA1">
        <w:trPr>
          <w:trHeight w:val="600"/>
        </w:trPr>
        <w:tc>
          <w:tcPr>
            <w:tcW w:w="5050" w:type="dxa"/>
            <w:gridSpan w:val="2"/>
            <w:tcBorders>
              <w:top w:val="single" w:sz="8" w:space="0" w:color="auto"/>
              <w:left w:val="single" w:sz="12" w:space="0" w:color="auto"/>
              <w:bottom w:val="single" w:sz="12" w:space="0" w:color="auto"/>
              <w:right w:val="single" w:sz="12" w:space="0" w:color="000000"/>
            </w:tcBorders>
            <w:shd w:val="clear" w:color="auto" w:fill="FFFFFF"/>
            <w:vAlign w:val="center"/>
          </w:tcPr>
          <w:p w:rsidR="00353ED4" w:rsidRPr="00815FA1" w:rsidRDefault="00353ED4" w:rsidP="00A133F6">
            <w:pPr>
              <w:spacing w:after="0" w:line="240" w:lineRule="auto"/>
              <w:jc w:val="both"/>
              <w:rPr>
                <w:rFonts w:ascii="Arial Narrow" w:hAnsi="Arial Narrow"/>
                <w:i/>
                <w:color w:val="000000"/>
              </w:rPr>
            </w:pPr>
            <w:r w:rsidRPr="00815FA1">
              <w:rPr>
                <w:rFonts w:ascii="Arial Narrow" w:hAnsi="Arial Narrow"/>
                <w:i/>
                <w:color w:val="000000"/>
              </w:rPr>
              <w:t>Increment percentage of Health Establishment with adequate CR</w:t>
            </w:r>
          </w:p>
        </w:tc>
        <w:tc>
          <w:tcPr>
            <w:tcW w:w="3689" w:type="dxa"/>
            <w:gridSpan w:val="3"/>
            <w:tcBorders>
              <w:top w:val="single" w:sz="8" w:space="0" w:color="auto"/>
              <w:left w:val="nil"/>
              <w:bottom w:val="single" w:sz="12" w:space="0" w:color="auto"/>
              <w:right w:val="single" w:sz="12" w:space="0" w:color="000000"/>
            </w:tcBorders>
            <w:noWrap/>
            <w:vAlign w:val="center"/>
          </w:tcPr>
          <w:p w:rsidR="00353ED4" w:rsidRPr="00815FA1" w:rsidRDefault="00353ED4" w:rsidP="00A133F6">
            <w:pPr>
              <w:spacing w:after="0" w:line="240" w:lineRule="auto"/>
              <w:jc w:val="center"/>
              <w:rPr>
                <w:rFonts w:ascii="Arial Narrow" w:hAnsi="Arial Narrow"/>
              </w:rPr>
            </w:pPr>
            <w:r w:rsidRPr="00815FA1">
              <w:rPr>
                <w:rFonts w:ascii="Arial Narrow" w:hAnsi="Arial Narrow"/>
              </w:rPr>
              <w:t>2.00</w:t>
            </w:r>
          </w:p>
        </w:tc>
      </w:tr>
    </w:tbl>
    <w:p w:rsidR="00353ED4" w:rsidRPr="00815FA1" w:rsidRDefault="00353ED4" w:rsidP="00B5075C">
      <w:pPr>
        <w:spacing w:after="0"/>
        <w:ind w:firstLine="708"/>
        <w:jc w:val="both"/>
        <w:rPr>
          <w:rStyle w:val="apple-style-span"/>
        </w:rPr>
      </w:pPr>
      <w:r w:rsidRPr="00815FA1">
        <w:rPr>
          <w:rStyle w:val="apple-style-span"/>
        </w:rPr>
        <w:t>1/ Tumbes, Lima Norte and Ayacucho Health Directions didn’t present the information</w:t>
      </w:r>
    </w:p>
    <w:p w:rsidR="00353ED4" w:rsidRPr="00815FA1" w:rsidRDefault="00353ED4" w:rsidP="00B5075C">
      <w:pPr>
        <w:ind w:firstLine="708"/>
        <w:jc w:val="both"/>
        <w:rPr>
          <w:rStyle w:val="apple-style-span"/>
        </w:rPr>
      </w:pPr>
      <w:r w:rsidRPr="00815FA1">
        <w:rPr>
          <w:rStyle w:val="apple-style-span"/>
        </w:rPr>
        <w:t>Source: MINSA</w:t>
      </w:r>
    </w:p>
    <w:p w:rsidR="00353ED4" w:rsidRPr="00987B97" w:rsidRDefault="00353ED4" w:rsidP="00987B97">
      <w:pPr>
        <w:ind w:left="567"/>
        <w:jc w:val="both"/>
        <w:rPr>
          <w:sz w:val="22"/>
        </w:rPr>
      </w:pPr>
      <w:r w:rsidRPr="00987B97">
        <w:rPr>
          <w:sz w:val="22"/>
        </w:rPr>
        <w:t>At a national level, the percentage of health establishments with a CR for FON higher than 80% is 27.5%, which implies that almost three of every four health establishments that can, legally, attend deliveries, doesn’t have enough CR to do so</w:t>
      </w:r>
      <w:r w:rsidRPr="00987B97">
        <w:rPr>
          <w:sz w:val="22"/>
          <w:vertAlign w:val="superscript"/>
        </w:rPr>
        <w:footnoteReference w:id="11"/>
      </w:r>
      <w:r w:rsidRPr="00987B97">
        <w:rPr>
          <w:sz w:val="22"/>
        </w:rPr>
        <w:t xml:space="preserve">. This situation is predominant among the Primary FON establishments, which are the most numerous and, generally, the closest to poor people or those with limited access to more complex or alternative health institutional services. </w:t>
      </w:r>
    </w:p>
    <w:p w:rsidR="00353ED4" w:rsidRPr="00987B97" w:rsidRDefault="00353ED4" w:rsidP="00987B97">
      <w:pPr>
        <w:ind w:left="567"/>
        <w:jc w:val="both"/>
        <w:rPr>
          <w:sz w:val="22"/>
        </w:rPr>
      </w:pPr>
      <w:r w:rsidRPr="00987B97">
        <w:rPr>
          <w:sz w:val="22"/>
        </w:rPr>
        <w:t>These results show the deficient services and infrastructure supply Peruvian government has to offer in maternal care. Some improvements have been made in the last years, even from 2007 to 2008, when the proportions of establishments with an adequate CR increased 2 percentage points. However, more improvements should be performed if the National Sanitary Objectives and the Millennium Development Goals are to be fulfilled on time, so maternal and infant deaths can be significantly reduced.</w:t>
      </w:r>
    </w:p>
    <w:p w:rsidR="00353ED4" w:rsidRPr="00987B97" w:rsidRDefault="00353ED4" w:rsidP="00987B97">
      <w:pPr>
        <w:ind w:left="567"/>
        <w:jc w:val="both"/>
        <w:rPr>
          <w:sz w:val="22"/>
        </w:rPr>
      </w:pPr>
      <w:r w:rsidRPr="00987B97">
        <w:rPr>
          <w:sz w:val="22"/>
        </w:rPr>
        <w:t>In terms of human resources, two problems are important. The first one</w:t>
      </w:r>
      <w:r>
        <w:rPr>
          <w:sz w:val="22"/>
        </w:rPr>
        <w:t xml:space="preserve"> is</w:t>
      </w:r>
      <w:r w:rsidRPr="00987B97">
        <w:rPr>
          <w:sz w:val="22"/>
        </w:rPr>
        <w:t xml:space="preserve"> the deficiencies in the number of professionals needed to fulfill the demand requirements. The second one is a</w:t>
      </w:r>
      <w:r>
        <w:rPr>
          <w:sz w:val="22"/>
        </w:rPr>
        <w:t>n</w:t>
      </w:r>
      <w:r w:rsidRPr="00987B97">
        <w:rPr>
          <w:sz w:val="22"/>
        </w:rPr>
        <w:t xml:space="preserve"> </w:t>
      </w:r>
      <w:r>
        <w:rPr>
          <w:sz w:val="22"/>
        </w:rPr>
        <w:t>allocation</w:t>
      </w:r>
      <w:r w:rsidRPr="00987B97">
        <w:rPr>
          <w:sz w:val="22"/>
        </w:rPr>
        <w:t xml:space="preserve"> problem: there is a bad distribution of professionals and this is a management and a legal problem. At this point, the public sector laws regarding human resources, is inadequate. For instance, it is not possible to move professionals from one place (district or region) to another without professionals’ contentment. </w:t>
      </w:r>
    </w:p>
    <w:p w:rsidR="00353ED4" w:rsidRPr="00815FA1" w:rsidRDefault="00353ED4" w:rsidP="004E6918">
      <w:pPr>
        <w:jc w:val="both"/>
      </w:pPr>
    </w:p>
    <w:p w:rsidR="00353ED4" w:rsidRPr="00F37291" w:rsidRDefault="00353ED4" w:rsidP="008937E1">
      <w:pPr>
        <w:pStyle w:val="Ttulo2"/>
        <w:numPr>
          <w:ilvl w:val="0"/>
          <w:numId w:val="18"/>
        </w:numPr>
        <w:ind w:left="426"/>
        <w:rPr>
          <w:rStyle w:val="apple-style-span"/>
        </w:rPr>
      </w:pPr>
      <w:bookmarkStart w:id="45" w:name="_Toc254270030"/>
      <w:r w:rsidRPr="00F37291">
        <w:rPr>
          <w:rStyle w:val="apple-style-span"/>
        </w:rPr>
        <w:t>Performance Based Budget: Maternal and Neonatal Health</w:t>
      </w:r>
      <w:bookmarkEnd w:id="45"/>
    </w:p>
    <w:p w:rsidR="00353ED4" w:rsidRPr="00815FA1" w:rsidRDefault="00353ED4" w:rsidP="00A133F6"/>
    <w:p w:rsidR="00353ED4" w:rsidRPr="00C071C8" w:rsidRDefault="00353ED4" w:rsidP="009356D3">
      <w:pPr>
        <w:jc w:val="both"/>
        <w:rPr>
          <w:rStyle w:val="apple-style-span"/>
          <w:sz w:val="22"/>
          <w:szCs w:val="22"/>
        </w:rPr>
      </w:pPr>
      <w:r w:rsidRPr="00C071C8">
        <w:rPr>
          <w:rStyle w:val="apple-style-span"/>
          <w:sz w:val="22"/>
          <w:szCs w:val="22"/>
        </w:rPr>
        <w:t>In 2008, one of the five budgetary programs created in the Performance Based Budget framework, was the Strategic Program of Maternal and Neonatal Health, which continues for 2009</w:t>
      </w:r>
      <w:r>
        <w:rPr>
          <w:rStyle w:val="apple-style-span"/>
          <w:sz w:val="22"/>
          <w:szCs w:val="22"/>
        </w:rPr>
        <w:t xml:space="preserve"> and 2010</w:t>
      </w:r>
      <w:r w:rsidRPr="00C071C8">
        <w:rPr>
          <w:rStyle w:val="apple-style-span"/>
          <w:sz w:val="22"/>
          <w:szCs w:val="22"/>
        </w:rPr>
        <w:t xml:space="preserve">.  This strategic program received 361’623,892 nuevos soles in 2008, which represents 0.5% of Peruvian Government Budget and 4% of the budget for the Ministry of Health for that year. This budget was distributed among the Ministry of Health (34%), the Integral Health Insurance (23%) and the regional authorities to perform specific activities to accomplish the goals stated above (43%). The activities </w:t>
      </w:r>
      <w:r>
        <w:rPr>
          <w:rStyle w:val="apple-style-span"/>
          <w:sz w:val="22"/>
          <w:szCs w:val="22"/>
        </w:rPr>
        <w:t xml:space="preserve">of the program </w:t>
      </w:r>
      <w:r w:rsidRPr="00C071C8">
        <w:rPr>
          <w:rStyle w:val="apple-style-span"/>
          <w:sz w:val="22"/>
          <w:szCs w:val="22"/>
        </w:rPr>
        <w:t xml:space="preserve">include broadening the attention of deliveries in institutional establishments, improvements in hemotherapy, increase childbearing women affiliated to SIS and the elaboration of technical guides in maternal and neonatal attention.  </w:t>
      </w:r>
    </w:p>
    <w:p w:rsidR="00353ED4" w:rsidRDefault="00353ED4" w:rsidP="009356D3">
      <w:pPr>
        <w:jc w:val="both"/>
        <w:rPr>
          <w:sz w:val="22"/>
          <w:szCs w:val="22"/>
        </w:rPr>
      </w:pPr>
      <w:r w:rsidRPr="00C071C8">
        <w:rPr>
          <w:sz w:val="22"/>
          <w:szCs w:val="22"/>
        </w:rPr>
        <w:t>The Strategic Program of Maternal and Neonatal Health (PSMN) seek</w:t>
      </w:r>
      <w:r>
        <w:rPr>
          <w:sz w:val="22"/>
          <w:szCs w:val="22"/>
        </w:rPr>
        <w:t>s</w:t>
      </w:r>
      <w:r w:rsidRPr="00C071C8">
        <w:rPr>
          <w:sz w:val="22"/>
          <w:szCs w:val="22"/>
        </w:rPr>
        <w:t xml:space="preserve"> to improve women and children’s health. The principal interventions of this program </w:t>
      </w:r>
      <w:r w:rsidRPr="00967926">
        <w:rPr>
          <w:sz w:val="22"/>
          <w:szCs w:val="22"/>
          <w:lang w:val="en-GB"/>
        </w:rPr>
        <w:t>focus</w:t>
      </w:r>
      <w:r w:rsidRPr="00C071C8">
        <w:rPr>
          <w:sz w:val="22"/>
          <w:szCs w:val="22"/>
        </w:rPr>
        <w:t xml:space="preserve"> in three different moments of life cycle</w:t>
      </w:r>
      <w:r w:rsidRPr="00C071C8">
        <w:rPr>
          <w:rStyle w:val="Refdenotaalpie"/>
          <w:sz w:val="22"/>
          <w:szCs w:val="22"/>
        </w:rPr>
        <w:footnoteReference w:id="12"/>
      </w:r>
      <w:r w:rsidRPr="00C071C8">
        <w:rPr>
          <w:sz w:val="22"/>
          <w:szCs w:val="22"/>
        </w:rPr>
        <w:t>:</w:t>
      </w:r>
    </w:p>
    <w:p w:rsidR="00353ED4" w:rsidRPr="00C071C8" w:rsidRDefault="00353ED4" w:rsidP="009356D3">
      <w:pPr>
        <w:jc w:val="both"/>
        <w:rPr>
          <w:sz w:val="22"/>
          <w:szCs w:val="22"/>
        </w:rPr>
      </w:pPr>
      <w:r w:rsidRPr="00C071C8">
        <w:rPr>
          <w:sz w:val="22"/>
          <w:szCs w:val="22"/>
          <w:u w:val="single"/>
        </w:rPr>
        <w:t>Before pregnancy:</w:t>
      </w:r>
      <w:r w:rsidRPr="00C071C8">
        <w:rPr>
          <w:sz w:val="22"/>
          <w:szCs w:val="22"/>
        </w:rPr>
        <w:t xml:space="preserve"> The program looks </w:t>
      </w:r>
      <w:r>
        <w:rPr>
          <w:sz w:val="22"/>
          <w:szCs w:val="22"/>
        </w:rPr>
        <w:t>to</w:t>
      </w:r>
      <w:r w:rsidRPr="00C071C8">
        <w:rPr>
          <w:sz w:val="22"/>
          <w:szCs w:val="22"/>
        </w:rPr>
        <w:t xml:space="preserve"> increase the population with knowledge in sexual and reproductive health, </w:t>
      </w:r>
      <w:r>
        <w:rPr>
          <w:sz w:val="22"/>
          <w:szCs w:val="22"/>
        </w:rPr>
        <w:t xml:space="preserve">and </w:t>
      </w:r>
      <w:r w:rsidRPr="00C071C8">
        <w:rPr>
          <w:sz w:val="22"/>
          <w:szCs w:val="22"/>
        </w:rPr>
        <w:t>that have access to birth control methods through:</w:t>
      </w:r>
    </w:p>
    <w:p w:rsidR="00353ED4" w:rsidRPr="00C071C8" w:rsidRDefault="00353ED4" w:rsidP="00FF0C6A">
      <w:pPr>
        <w:numPr>
          <w:ilvl w:val="0"/>
          <w:numId w:val="1"/>
        </w:numPr>
        <w:jc w:val="both"/>
        <w:rPr>
          <w:sz w:val="22"/>
          <w:szCs w:val="22"/>
        </w:rPr>
      </w:pPr>
      <w:r w:rsidRPr="00C071C8">
        <w:rPr>
          <w:sz w:val="22"/>
          <w:szCs w:val="22"/>
        </w:rPr>
        <w:t>Set</w:t>
      </w:r>
      <w:r>
        <w:rPr>
          <w:sz w:val="22"/>
          <w:szCs w:val="22"/>
        </w:rPr>
        <w:t>ting</w:t>
      </w:r>
      <w:r w:rsidRPr="00C071C8">
        <w:rPr>
          <w:sz w:val="22"/>
          <w:szCs w:val="22"/>
        </w:rPr>
        <w:t xml:space="preserve"> up healthy town councils, communities, schools and families that stimulate sexual and reproductive health.</w:t>
      </w:r>
    </w:p>
    <w:p w:rsidR="00353ED4" w:rsidRPr="00C071C8" w:rsidRDefault="00353ED4" w:rsidP="00FF0C6A">
      <w:pPr>
        <w:numPr>
          <w:ilvl w:val="0"/>
          <w:numId w:val="1"/>
        </w:numPr>
        <w:jc w:val="both"/>
        <w:rPr>
          <w:sz w:val="22"/>
          <w:szCs w:val="22"/>
        </w:rPr>
      </w:pPr>
      <w:r>
        <w:rPr>
          <w:sz w:val="22"/>
          <w:szCs w:val="22"/>
        </w:rPr>
        <w:t>Increasing</w:t>
      </w:r>
      <w:r w:rsidRPr="00C071C8">
        <w:rPr>
          <w:sz w:val="22"/>
          <w:szCs w:val="22"/>
        </w:rPr>
        <w:t xml:space="preserve"> the availability and access to sexual and reproductive health counseling, and to birth control methods.</w:t>
      </w:r>
    </w:p>
    <w:p w:rsidR="00353ED4" w:rsidRPr="00C071C8" w:rsidRDefault="00353ED4" w:rsidP="009356D3">
      <w:pPr>
        <w:jc w:val="both"/>
        <w:rPr>
          <w:sz w:val="22"/>
          <w:szCs w:val="22"/>
        </w:rPr>
      </w:pPr>
      <w:r w:rsidRPr="00C071C8">
        <w:rPr>
          <w:sz w:val="22"/>
          <w:szCs w:val="22"/>
          <w:u w:val="single"/>
        </w:rPr>
        <w:t>During pregnancy and labor:</w:t>
      </w:r>
      <w:r w:rsidRPr="00C071C8">
        <w:rPr>
          <w:sz w:val="22"/>
          <w:szCs w:val="22"/>
        </w:rPr>
        <w:t xml:space="preserve"> The program seeks to reduce maternal mortality and morbidity through:</w:t>
      </w:r>
    </w:p>
    <w:p w:rsidR="00353ED4" w:rsidRPr="00C071C8" w:rsidRDefault="00353ED4" w:rsidP="0064113F">
      <w:pPr>
        <w:numPr>
          <w:ilvl w:val="0"/>
          <w:numId w:val="2"/>
        </w:numPr>
        <w:jc w:val="both"/>
        <w:rPr>
          <w:sz w:val="22"/>
          <w:szCs w:val="22"/>
        </w:rPr>
      </w:pPr>
      <w:r w:rsidRPr="00C071C8">
        <w:rPr>
          <w:sz w:val="22"/>
          <w:szCs w:val="22"/>
        </w:rPr>
        <w:t xml:space="preserve">Increase </w:t>
      </w:r>
      <w:r>
        <w:rPr>
          <w:sz w:val="22"/>
          <w:szCs w:val="22"/>
        </w:rPr>
        <w:t>the access to</w:t>
      </w:r>
      <w:r w:rsidRPr="00C071C8">
        <w:rPr>
          <w:sz w:val="22"/>
          <w:szCs w:val="22"/>
        </w:rPr>
        <w:t xml:space="preserve"> quali</w:t>
      </w:r>
      <w:r>
        <w:rPr>
          <w:sz w:val="22"/>
          <w:szCs w:val="22"/>
        </w:rPr>
        <w:t>t</w:t>
      </w:r>
      <w:r w:rsidRPr="00C071C8">
        <w:rPr>
          <w:sz w:val="22"/>
          <w:szCs w:val="22"/>
        </w:rPr>
        <w:t>y prenatal services for pregnan</w:t>
      </w:r>
      <w:r>
        <w:rPr>
          <w:sz w:val="22"/>
          <w:szCs w:val="22"/>
        </w:rPr>
        <w:t>t</w:t>
      </w:r>
      <w:r w:rsidRPr="00C071C8">
        <w:rPr>
          <w:sz w:val="22"/>
          <w:szCs w:val="22"/>
        </w:rPr>
        <w:t xml:space="preserve"> women. These include the diagnose and appropriate treatment for the complications that appear during pregnancy, like anemia, sexual</w:t>
      </w:r>
      <w:r>
        <w:rPr>
          <w:sz w:val="22"/>
          <w:szCs w:val="22"/>
        </w:rPr>
        <w:t>ly transmitted</w:t>
      </w:r>
      <w:r w:rsidRPr="00C071C8">
        <w:rPr>
          <w:sz w:val="22"/>
          <w:szCs w:val="22"/>
        </w:rPr>
        <w:t xml:space="preserve"> diseases, and urinal infections.</w:t>
      </w:r>
    </w:p>
    <w:p w:rsidR="00353ED4" w:rsidRPr="00C071C8" w:rsidRDefault="00353ED4" w:rsidP="00FF0C6A">
      <w:pPr>
        <w:numPr>
          <w:ilvl w:val="0"/>
          <w:numId w:val="2"/>
        </w:numPr>
        <w:jc w:val="both"/>
        <w:rPr>
          <w:sz w:val="22"/>
          <w:szCs w:val="22"/>
        </w:rPr>
      </w:pPr>
      <w:r w:rsidRPr="00C071C8">
        <w:rPr>
          <w:sz w:val="22"/>
          <w:szCs w:val="22"/>
        </w:rPr>
        <w:t>Increase the propo</w:t>
      </w:r>
      <w:r>
        <w:rPr>
          <w:sz w:val="22"/>
          <w:szCs w:val="22"/>
        </w:rPr>
        <w:t>rtion of deliveries in qualified</w:t>
      </w:r>
      <w:r w:rsidRPr="00C071C8">
        <w:rPr>
          <w:sz w:val="22"/>
          <w:szCs w:val="22"/>
        </w:rPr>
        <w:t xml:space="preserve"> health establishments.</w:t>
      </w:r>
    </w:p>
    <w:p w:rsidR="00353ED4" w:rsidRPr="00C071C8" w:rsidRDefault="00353ED4" w:rsidP="00FF0C6A">
      <w:pPr>
        <w:numPr>
          <w:ilvl w:val="0"/>
          <w:numId w:val="2"/>
        </w:numPr>
        <w:jc w:val="both"/>
        <w:rPr>
          <w:sz w:val="22"/>
          <w:szCs w:val="22"/>
        </w:rPr>
      </w:pPr>
      <w:r w:rsidRPr="00C071C8">
        <w:rPr>
          <w:sz w:val="22"/>
          <w:szCs w:val="22"/>
        </w:rPr>
        <w:t>Increase the access to establishments with the right capacity to solve basic, essential and intensives obstetric emergencies.</w:t>
      </w:r>
    </w:p>
    <w:p w:rsidR="00353ED4" w:rsidRPr="00C071C8" w:rsidRDefault="00353ED4" w:rsidP="00FF0C6A">
      <w:pPr>
        <w:numPr>
          <w:ilvl w:val="0"/>
          <w:numId w:val="2"/>
        </w:numPr>
        <w:jc w:val="both"/>
        <w:rPr>
          <w:sz w:val="22"/>
          <w:szCs w:val="22"/>
        </w:rPr>
      </w:pPr>
      <w:r w:rsidRPr="00C071C8">
        <w:rPr>
          <w:sz w:val="22"/>
          <w:szCs w:val="22"/>
        </w:rPr>
        <w:t>Raise the access to the net of hemotherapy centers.</w:t>
      </w:r>
    </w:p>
    <w:p w:rsidR="00353ED4" w:rsidRPr="00C071C8" w:rsidRDefault="00353ED4" w:rsidP="00FF0C6A">
      <w:pPr>
        <w:numPr>
          <w:ilvl w:val="0"/>
          <w:numId w:val="2"/>
        </w:numPr>
        <w:jc w:val="both"/>
        <w:rPr>
          <w:sz w:val="22"/>
          <w:szCs w:val="22"/>
        </w:rPr>
      </w:pPr>
      <w:r w:rsidRPr="00C071C8">
        <w:rPr>
          <w:sz w:val="22"/>
          <w:szCs w:val="22"/>
        </w:rPr>
        <w:t>Strengthen the reference system concerned with its organization, operations and financing.</w:t>
      </w:r>
    </w:p>
    <w:p w:rsidR="00353ED4" w:rsidRPr="00C071C8" w:rsidRDefault="00353ED4" w:rsidP="009356D3">
      <w:pPr>
        <w:jc w:val="both"/>
        <w:rPr>
          <w:sz w:val="22"/>
          <w:szCs w:val="22"/>
        </w:rPr>
      </w:pPr>
      <w:r w:rsidRPr="00C071C8">
        <w:rPr>
          <w:sz w:val="22"/>
          <w:szCs w:val="22"/>
          <w:u w:val="single"/>
        </w:rPr>
        <w:t>During neonatal period (the first 28 days of the newborn):</w:t>
      </w:r>
      <w:r>
        <w:rPr>
          <w:sz w:val="22"/>
          <w:szCs w:val="22"/>
        </w:rPr>
        <w:t xml:space="preserve"> The program looks to</w:t>
      </w:r>
      <w:r w:rsidRPr="00C071C8">
        <w:rPr>
          <w:sz w:val="22"/>
          <w:szCs w:val="22"/>
        </w:rPr>
        <w:t xml:space="preserve"> reduce neonatal mortality and morbidity through:</w:t>
      </w:r>
    </w:p>
    <w:p w:rsidR="00353ED4" w:rsidRPr="00C071C8" w:rsidRDefault="00353ED4" w:rsidP="00FF0C6A">
      <w:pPr>
        <w:numPr>
          <w:ilvl w:val="0"/>
          <w:numId w:val="3"/>
        </w:numPr>
        <w:jc w:val="both"/>
        <w:rPr>
          <w:sz w:val="22"/>
          <w:szCs w:val="22"/>
        </w:rPr>
      </w:pPr>
      <w:r w:rsidRPr="00C071C8">
        <w:rPr>
          <w:sz w:val="22"/>
          <w:szCs w:val="22"/>
        </w:rPr>
        <w:t>Increase the proportion of deliveries in qualifies health establishments.</w:t>
      </w:r>
    </w:p>
    <w:p w:rsidR="00353ED4" w:rsidRPr="00C071C8" w:rsidRDefault="00353ED4" w:rsidP="00FF0C6A">
      <w:pPr>
        <w:numPr>
          <w:ilvl w:val="0"/>
          <w:numId w:val="3"/>
        </w:numPr>
        <w:jc w:val="both"/>
        <w:rPr>
          <w:sz w:val="22"/>
          <w:szCs w:val="22"/>
        </w:rPr>
      </w:pPr>
      <w:r w:rsidRPr="00C071C8">
        <w:rPr>
          <w:sz w:val="22"/>
          <w:szCs w:val="22"/>
        </w:rPr>
        <w:t xml:space="preserve">Increase the access to establishments with the adequate capacity to solve basic, essential and intensive neonatal emergencies.  </w:t>
      </w:r>
    </w:p>
    <w:p w:rsidR="00353ED4" w:rsidRPr="00815FA1" w:rsidRDefault="00353ED4" w:rsidP="00A133F6">
      <w:pPr>
        <w:pStyle w:val="Ttulo3"/>
        <w:numPr>
          <w:ilvl w:val="0"/>
          <w:numId w:val="19"/>
        </w:numPr>
        <w:rPr>
          <w:rStyle w:val="apple-style-span"/>
        </w:rPr>
      </w:pPr>
      <w:bookmarkStart w:id="46" w:name="_Toc254270031"/>
      <w:r w:rsidRPr="00815FA1">
        <w:rPr>
          <w:rStyle w:val="apple-style-span"/>
        </w:rPr>
        <w:t>Goals</w:t>
      </w:r>
      <w:bookmarkEnd w:id="46"/>
    </w:p>
    <w:p w:rsidR="00353ED4" w:rsidRPr="00967926" w:rsidRDefault="00353ED4" w:rsidP="00180B26">
      <w:pPr>
        <w:ind w:left="709"/>
        <w:jc w:val="both"/>
        <w:rPr>
          <w:sz w:val="22"/>
          <w:szCs w:val="22"/>
        </w:rPr>
      </w:pPr>
      <w:r w:rsidRPr="00967926">
        <w:rPr>
          <w:sz w:val="22"/>
          <w:szCs w:val="22"/>
        </w:rPr>
        <w:t xml:space="preserve">The four principal goals of this program are (see </w:t>
      </w:r>
      <w:r>
        <w:rPr>
          <w:sz w:val="22"/>
          <w:szCs w:val="22"/>
        </w:rPr>
        <w:t>Table 19</w:t>
      </w:r>
      <w:r w:rsidRPr="00967926">
        <w:rPr>
          <w:sz w:val="22"/>
          <w:szCs w:val="22"/>
        </w:rPr>
        <w:t>):</w:t>
      </w:r>
    </w:p>
    <w:p w:rsidR="00353ED4" w:rsidRDefault="00353ED4" w:rsidP="00180B26">
      <w:pPr>
        <w:ind w:left="709"/>
        <w:jc w:val="both"/>
        <w:rPr>
          <w:b/>
          <w:i/>
          <w:sz w:val="22"/>
          <w:szCs w:val="22"/>
          <w:u w:val="single"/>
        </w:rPr>
      </w:pPr>
      <w:r w:rsidRPr="00967926">
        <w:rPr>
          <w:b/>
          <w:i/>
          <w:sz w:val="22"/>
          <w:szCs w:val="22"/>
          <w:u w:val="single"/>
        </w:rPr>
        <w:t>Conduction of the management of the strategy</w:t>
      </w:r>
    </w:p>
    <w:p w:rsidR="00353ED4" w:rsidRPr="00967926" w:rsidRDefault="00353ED4" w:rsidP="0064113F">
      <w:pPr>
        <w:ind w:left="709"/>
        <w:jc w:val="both"/>
        <w:rPr>
          <w:sz w:val="22"/>
          <w:szCs w:val="22"/>
        </w:rPr>
      </w:pPr>
      <w:r w:rsidRPr="00967926">
        <w:rPr>
          <w:sz w:val="22"/>
          <w:szCs w:val="22"/>
        </w:rPr>
        <w:t xml:space="preserve">This objective can be considered as the link between the government and society. As long as the program is moving forward, the information of the respective progress must be available to the population. For this program, the information is been gather in three different ways: reports of the responsible institutions for the execution of activities and services related to the advances and problems that are facing up for the program implementation, reports of the MEF related to the budget implementation and the accomplishment of the specific goals established in the strategic program, and reports of the effectiveness performance of the local services in the chosen territories.  </w:t>
      </w:r>
    </w:p>
    <w:p w:rsidR="00353ED4" w:rsidRDefault="00353ED4" w:rsidP="0064113F">
      <w:pPr>
        <w:ind w:left="709"/>
        <w:jc w:val="both"/>
        <w:rPr>
          <w:b/>
          <w:i/>
          <w:sz w:val="22"/>
          <w:szCs w:val="22"/>
          <w:u w:val="single"/>
        </w:rPr>
      </w:pPr>
      <w:r w:rsidRPr="00967926">
        <w:rPr>
          <w:b/>
          <w:i/>
          <w:sz w:val="22"/>
          <w:szCs w:val="22"/>
          <w:u w:val="single"/>
        </w:rPr>
        <w:t xml:space="preserve">Population with knowledge on sexual and reproductive health, and </w:t>
      </w:r>
      <w:r>
        <w:rPr>
          <w:b/>
          <w:i/>
          <w:sz w:val="22"/>
          <w:szCs w:val="22"/>
          <w:u w:val="single"/>
        </w:rPr>
        <w:t xml:space="preserve">with </w:t>
      </w:r>
      <w:r w:rsidRPr="00967926">
        <w:rPr>
          <w:b/>
          <w:i/>
          <w:sz w:val="22"/>
          <w:szCs w:val="22"/>
          <w:u w:val="single"/>
        </w:rPr>
        <w:t>access to birth control methods</w:t>
      </w:r>
    </w:p>
    <w:p w:rsidR="00353ED4" w:rsidRPr="00967926" w:rsidRDefault="00353ED4" w:rsidP="00180B26">
      <w:pPr>
        <w:ind w:left="709"/>
        <w:jc w:val="both"/>
        <w:rPr>
          <w:sz w:val="22"/>
          <w:szCs w:val="22"/>
        </w:rPr>
      </w:pPr>
      <w:r w:rsidRPr="00967926">
        <w:rPr>
          <w:sz w:val="22"/>
          <w:szCs w:val="22"/>
        </w:rPr>
        <w:t>The ENDES 2000 reported that in Peru:</w:t>
      </w:r>
    </w:p>
    <w:p w:rsidR="00353ED4" w:rsidRPr="00967926" w:rsidRDefault="00353ED4" w:rsidP="00180B26">
      <w:pPr>
        <w:numPr>
          <w:ilvl w:val="0"/>
          <w:numId w:val="7"/>
        </w:numPr>
        <w:tabs>
          <w:tab w:val="clear" w:pos="720"/>
          <w:tab w:val="num" w:pos="1134"/>
        </w:tabs>
        <w:ind w:left="1134"/>
        <w:jc w:val="both"/>
        <w:rPr>
          <w:sz w:val="22"/>
          <w:szCs w:val="22"/>
        </w:rPr>
      </w:pPr>
      <w:r w:rsidRPr="00967926">
        <w:rPr>
          <w:sz w:val="22"/>
          <w:szCs w:val="22"/>
        </w:rPr>
        <w:t>Almost all the women know or have heard about at least one birth control method, being the most known the pill (95%) and the injection (96%).</w:t>
      </w:r>
    </w:p>
    <w:p w:rsidR="00353ED4" w:rsidRPr="00967926" w:rsidRDefault="00353ED4" w:rsidP="00180B26">
      <w:pPr>
        <w:numPr>
          <w:ilvl w:val="0"/>
          <w:numId w:val="7"/>
        </w:numPr>
        <w:tabs>
          <w:tab w:val="clear" w:pos="720"/>
          <w:tab w:val="num" w:pos="1134"/>
        </w:tabs>
        <w:ind w:left="1134"/>
        <w:jc w:val="both"/>
        <w:rPr>
          <w:sz w:val="22"/>
          <w:szCs w:val="22"/>
        </w:rPr>
      </w:pPr>
      <w:r w:rsidRPr="00967926">
        <w:rPr>
          <w:sz w:val="22"/>
          <w:szCs w:val="22"/>
        </w:rPr>
        <w:t>The lowest percentages of users of birth control methods are located in rural areas, in the departments of Huancavelica and Ayacucho, where hardly half of the women use a birth control method.</w:t>
      </w:r>
    </w:p>
    <w:p w:rsidR="00353ED4" w:rsidRPr="00967926" w:rsidRDefault="00353ED4" w:rsidP="0064113F">
      <w:pPr>
        <w:numPr>
          <w:ilvl w:val="0"/>
          <w:numId w:val="7"/>
        </w:numPr>
        <w:tabs>
          <w:tab w:val="clear" w:pos="720"/>
          <w:tab w:val="num" w:pos="1134"/>
        </w:tabs>
        <w:ind w:left="1134"/>
        <w:jc w:val="both"/>
        <w:rPr>
          <w:sz w:val="22"/>
          <w:szCs w:val="22"/>
        </w:rPr>
      </w:pPr>
      <w:r w:rsidRPr="00967926">
        <w:rPr>
          <w:sz w:val="22"/>
          <w:szCs w:val="22"/>
        </w:rPr>
        <w:t>One of every ten women has a necessity of knowledge about birth control methods. The mayor part of the necessity refers in order to limit the family size, the one that is more frequent in rural areas (15%).</w:t>
      </w:r>
    </w:p>
    <w:p w:rsidR="00353ED4" w:rsidRDefault="00353ED4" w:rsidP="00180B26">
      <w:pPr>
        <w:ind w:left="709"/>
        <w:jc w:val="both"/>
        <w:rPr>
          <w:b/>
          <w:i/>
          <w:sz w:val="22"/>
          <w:szCs w:val="22"/>
          <w:u w:val="single"/>
        </w:rPr>
      </w:pPr>
      <w:r w:rsidRPr="00967926">
        <w:rPr>
          <w:b/>
          <w:i/>
          <w:sz w:val="22"/>
          <w:szCs w:val="22"/>
          <w:u w:val="single"/>
        </w:rPr>
        <w:t>Reduction of maternal mortality and morbidity</w:t>
      </w:r>
    </w:p>
    <w:p w:rsidR="00353ED4" w:rsidRPr="00967926" w:rsidRDefault="00353ED4" w:rsidP="00180B26">
      <w:pPr>
        <w:ind w:left="709"/>
        <w:jc w:val="both"/>
        <w:rPr>
          <w:sz w:val="22"/>
          <w:szCs w:val="22"/>
        </w:rPr>
      </w:pPr>
      <w:r w:rsidRPr="00967926">
        <w:rPr>
          <w:sz w:val="22"/>
          <w:szCs w:val="22"/>
        </w:rPr>
        <w:t xml:space="preserve">Peruvian Government has prioritize institutional birth when considered reducing maternal mortality as the first National Sanitary Objective in its National Coordinated Health Plan (2007-2020), with the specific goals of reducing teenage pregnancy; complications during pregnancy, delivery and post delivery; and broadening access to different birth control methods. </w:t>
      </w:r>
    </w:p>
    <w:p w:rsidR="00353ED4" w:rsidRDefault="00353ED4" w:rsidP="00180B26">
      <w:pPr>
        <w:ind w:left="709"/>
        <w:jc w:val="both"/>
        <w:rPr>
          <w:b/>
          <w:i/>
          <w:sz w:val="22"/>
          <w:szCs w:val="22"/>
          <w:u w:val="single"/>
        </w:rPr>
      </w:pPr>
      <w:r w:rsidRPr="00967926">
        <w:rPr>
          <w:b/>
          <w:i/>
          <w:sz w:val="22"/>
          <w:szCs w:val="22"/>
          <w:u w:val="single"/>
        </w:rPr>
        <w:t>Reduction of neonatal mortality and morbidity</w:t>
      </w:r>
      <w:r w:rsidRPr="00967926">
        <w:rPr>
          <w:rStyle w:val="Refdenotaalpie"/>
          <w:b/>
          <w:i/>
          <w:sz w:val="22"/>
          <w:szCs w:val="22"/>
          <w:u w:val="single"/>
        </w:rPr>
        <w:footnoteReference w:id="13"/>
      </w:r>
    </w:p>
    <w:p w:rsidR="00353ED4" w:rsidRPr="00967926" w:rsidRDefault="00353ED4" w:rsidP="00180B26">
      <w:pPr>
        <w:ind w:left="709"/>
        <w:jc w:val="both"/>
        <w:rPr>
          <w:b/>
          <w:i/>
          <w:sz w:val="22"/>
          <w:szCs w:val="22"/>
          <w:u w:val="single"/>
        </w:rPr>
      </w:pPr>
    </w:p>
    <w:p w:rsidR="00353ED4" w:rsidRDefault="00353ED4" w:rsidP="0064113F">
      <w:pPr>
        <w:ind w:left="709"/>
        <w:jc w:val="both"/>
        <w:rPr>
          <w:sz w:val="22"/>
          <w:szCs w:val="22"/>
        </w:rPr>
      </w:pPr>
      <w:r w:rsidRPr="00967926">
        <w:rPr>
          <w:sz w:val="22"/>
          <w:szCs w:val="22"/>
        </w:rPr>
        <w:t>According to data from MEF, the neonatal mortality rate (produced in the first month of life) is 10.6 per a thousand live births for the urban areas and 18.7 for the rural areas. The MEF and MINSA have proposed to take as indicators the neonatal mortality rate per thousand of live births and the institutional birth coverage in pregnancy women from rural areas.</w:t>
      </w:r>
    </w:p>
    <w:p w:rsidR="00353ED4" w:rsidRPr="00815FA1" w:rsidRDefault="00353ED4" w:rsidP="0064113F">
      <w:pPr>
        <w:pStyle w:val="Epgrafe"/>
        <w:jc w:val="center"/>
        <w:rPr>
          <w:color w:val="auto"/>
          <w:sz w:val="22"/>
        </w:rPr>
      </w:pPr>
      <w:bookmarkStart w:id="47" w:name="_Ref245842473"/>
      <w:r w:rsidRPr="00967926">
        <w:rPr>
          <w:color w:val="auto"/>
          <w:sz w:val="22"/>
          <w:szCs w:val="22"/>
        </w:rPr>
        <w:t xml:space="preserve">Table </w:t>
      </w:r>
      <w:r w:rsidRPr="00967926">
        <w:rPr>
          <w:color w:val="auto"/>
          <w:sz w:val="22"/>
          <w:szCs w:val="22"/>
        </w:rPr>
        <w:fldChar w:fldCharType="begin"/>
      </w:r>
      <w:r w:rsidRPr="00967926">
        <w:rPr>
          <w:color w:val="auto"/>
          <w:sz w:val="22"/>
          <w:szCs w:val="22"/>
        </w:rPr>
        <w:instrText xml:space="preserve"> SEQ Chart \* ARABIC </w:instrText>
      </w:r>
      <w:r w:rsidRPr="00967926">
        <w:rPr>
          <w:color w:val="auto"/>
          <w:sz w:val="22"/>
          <w:szCs w:val="22"/>
        </w:rPr>
        <w:fldChar w:fldCharType="separate"/>
      </w:r>
      <w:r>
        <w:rPr>
          <w:noProof/>
          <w:color w:val="auto"/>
          <w:sz w:val="22"/>
          <w:szCs w:val="22"/>
        </w:rPr>
        <w:t>19</w:t>
      </w:r>
      <w:r w:rsidRPr="00967926">
        <w:rPr>
          <w:color w:val="auto"/>
          <w:sz w:val="22"/>
          <w:szCs w:val="22"/>
        </w:rPr>
        <w:fldChar w:fldCharType="end"/>
      </w:r>
      <w:bookmarkEnd w:id="47"/>
      <w:r w:rsidRPr="00967926">
        <w:rPr>
          <w:color w:val="auto"/>
          <w:sz w:val="22"/>
          <w:szCs w:val="22"/>
        </w:rPr>
        <w:t xml:space="preserve">: Main </w:t>
      </w:r>
      <w:r>
        <w:rPr>
          <w:color w:val="auto"/>
          <w:sz w:val="22"/>
          <w:szCs w:val="22"/>
        </w:rPr>
        <w:t>g</w:t>
      </w:r>
      <w:r w:rsidRPr="00967926">
        <w:rPr>
          <w:color w:val="auto"/>
          <w:sz w:val="22"/>
          <w:szCs w:val="22"/>
        </w:rPr>
        <w:t>oals of the Maternal and Neonatal Health Progra</w:t>
      </w:r>
      <w:r w:rsidRPr="00815FA1">
        <w:rPr>
          <w:color w:val="auto"/>
          <w:sz w:val="22"/>
        </w:rPr>
        <w:t>m</w:t>
      </w:r>
    </w:p>
    <w:p w:rsidR="00353ED4" w:rsidRPr="00815FA1" w:rsidRDefault="00353ED4" w:rsidP="00A05415">
      <w:pPr>
        <w:ind w:left="-567"/>
        <w:jc w:val="both"/>
      </w:pPr>
      <w:r w:rsidRPr="00815FA1">
        <w:object w:dxaOrig="9702" w:dyaOrig="10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5.5pt;height:477pt" o:ole="">
            <v:imagedata r:id="rId14" o:title=""/>
          </v:shape>
          <o:OLEObject Type="Embed" ProgID="Excel.Sheet.8" ShapeID="_x0000_i1031" DrawAspect="Content" ObjectID="_1350247755" r:id="rId15"/>
        </w:object>
      </w:r>
      <w:r w:rsidRPr="00815FA1">
        <w:tab/>
        <w:t>Source: MEF</w:t>
      </w:r>
    </w:p>
    <w:p w:rsidR="00353ED4" w:rsidRDefault="00353ED4" w:rsidP="0064113F">
      <w:pPr>
        <w:tabs>
          <w:tab w:val="left" w:pos="5130"/>
        </w:tabs>
        <w:jc w:val="both"/>
        <w:rPr>
          <w:sz w:val="22"/>
          <w:szCs w:val="22"/>
        </w:rPr>
      </w:pPr>
      <w:r>
        <w:rPr>
          <w:sz w:val="22"/>
          <w:szCs w:val="22"/>
        </w:rPr>
        <w:t>Because of the importance of the PSMN and the institutional deliveries, a PBA and a BIA will be conducted to complement the ones for the public health sector.</w:t>
      </w:r>
      <w:r w:rsidRPr="00722CD3">
        <w:rPr>
          <w:sz w:val="22"/>
          <w:szCs w:val="22"/>
        </w:rPr>
        <w:t xml:space="preserve"> </w:t>
      </w:r>
      <w:r>
        <w:rPr>
          <w:sz w:val="22"/>
          <w:szCs w:val="22"/>
        </w:rPr>
        <w:t>The PBA regards to the PSMN’s budget</w:t>
      </w:r>
      <w:r w:rsidRPr="00722CD3">
        <w:rPr>
          <w:sz w:val="22"/>
          <w:szCs w:val="22"/>
        </w:rPr>
        <w:t xml:space="preserve"> facts related to the goal of “reduction of maternal mortality and morbidity”</w:t>
      </w:r>
      <w:r>
        <w:rPr>
          <w:sz w:val="22"/>
          <w:szCs w:val="22"/>
        </w:rPr>
        <w:t xml:space="preserve">. The BIA will specifically consider </w:t>
      </w:r>
      <w:r w:rsidRPr="00722CD3">
        <w:rPr>
          <w:sz w:val="22"/>
          <w:szCs w:val="22"/>
        </w:rPr>
        <w:t>the input of “pregnant women</w:t>
      </w:r>
      <w:r>
        <w:rPr>
          <w:sz w:val="22"/>
          <w:szCs w:val="22"/>
        </w:rPr>
        <w:t xml:space="preserve"> </w:t>
      </w:r>
      <w:r w:rsidRPr="00722CD3">
        <w:rPr>
          <w:sz w:val="22"/>
          <w:szCs w:val="22"/>
        </w:rPr>
        <w:t xml:space="preserve">have access to qualified delivery attention and normal and complicated puerperium services according to capacity of resolution”. </w:t>
      </w:r>
    </w:p>
    <w:p w:rsidR="00353ED4" w:rsidRPr="00722CD3" w:rsidRDefault="00353ED4" w:rsidP="008D1122">
      <w:pPr>
        <w:tabs>
          <w:tab w:val="left" w:pos="5130"/>
        </w:tabs>
        <w:jc w:val="both"/>
        <w:rPr>
          <w:sz w:val="22"/>
          <w:szCs w:val="22"/>
        </w:rPr>
      </w:pPr>
      <w:r w:rsidRPr="00722CD3">
        <w:rPr>
          <w:sz w:val="22"/>
          <w:szCs w:val="22"/>
        </w:rPr>
        <w:t>The indicators considered are:</w:t>
      </w:r>
    </w:p>
    <w:p w:rsidR="00353ED4" w:rsidRPr="00722CD3" w:rsidRDefault="00353ED4" w:rsidP="00FF0C6A">
      <w:pPr>
        <w:numPr>
          <w:ilvl w:val="0"/>
          <w:numId w:val="9"/>
        </w:numPr>
        <w:jc w:val="both"/>
        <w:rPr>
          <w:sz w:val="22"/>
          <w:szCs w:val="22"/>
        </w:rPr>
      </w:pPr>
      <w:r w:rsidRPr="00722CD3">
        <w:rPr>
          <w:sz w:val="22"/>
          <w:szCs w:val="22"/>
        </w:rPr>
        <w:t xml:space="preserve">Proportion of attended deliveries in health establishments that fulfill obstetric and neonatal functions, and </w:t>
      </w:r>
    </w:p>
    <w:p w:rsidR="00353ED4" w:rsidRDefault="00353ED4" w:rsidP="00FF0C6A">
      <w:pPr>
        <w:numPr>
          <w:ilvl w:val="0"/>
          <w:numId w:val="9"/>
        </w:numPr>
        <w:jc w:val="both"/>
        <w:rPr>
          <w:sz w:val="22"/>
          <w:szCs w:val="22"/>
        </w:rPr>
      </w:pPr>
      <w:r w:rsidRPr="00722CD3">
        <w:rPr>
          <w:sz w:val="22"/>
          <w:szCs w:val="22"/>
        </w:rPr>
        <w:t>Proportion of complicated deliveries attended in health establishments that fulfill obstetric and neonatal functions.</w:t>
      </w:r>
    </w:p>
    <w:p w:rsidR="00353ED4" w:rsidRDefault="00353ED4" w:rsidP="006F1EBC">
      <w:pPr>
        <w:jc w:val="both"/>
        <w:rPr>
          <w:sz w:val="22"/>
          <w:szCs w:val="22"/>
        </w:rPr>
      </w:pPr>
    </w:p>
    <w:p w:rsidR="00353ED4" w:rsidRDefault="00353ED4" w:rsidP="006F1EBC">
      <w:pPr>
        <w:jc w:val="both"/>
        <w:rPr>
          <w:sz w:val="22"/>
          <w:szCs w:val="22"/>
        </w:rPr>
      </w:pPr>
    </w:p>
    <w:p w:rsidR="00353ED4" w:rsidRDefault="00353ED4" w:rsidP="006F1EBC">
      <w:pPr>
        <w:jc w:val="both"/>
        <w:rPr>
          <w:sz w:val="22"/>
          <w:szCs w:val="22"/>
        </w:rPr>
      </w:pPr>
    </w:p>
    <w:p w:rsidR="00353ED4" w:rsidRDefault="00353ED4">
      <w:pPr>
        <w:spacing w:before="0" w:after="0" w:line="240" w:lineRule="auto"/>
        <w:rPr>
          <w:sz w:val="22"/>
          <w:szCs w:val="22"/>
        </w:rPr>
      </w:pPr>
      <w:r>
        <w:rPr>
          <w:sz w:val="22"/>
          <w:szCs w:val="22"/>
        </w:rPr>
        <w:br w:type="page"/>
      </w:r>
    </w:p>
    <w:p w:rsidR="00353ED4" w:rsidRPr="004A2EFD" w:rsidRDefault="00353ED4" w:rsidP="008937E1">
      <w:pPr>
        <w:pStyle w:val="Ttulo1"/>
        <w:numPr>
          <w:ilvl w:val="0"/>
          <w:numId w:val="28"/>
        </w:numPr>
        <w:pBdr>
          <w:left w:val="single" w:sz="24" w:space="1" w:color="4F81BD"/>
        </w:pBdr>
        <w:ind w:left="426" w:hanging="426"/>
        <w:rPr>
          <w:rStyle w:val="apple-style-span"/>
        </w:rPr>
      </w:pPr>
      <w:bookmarkStart w:id="48" w:name="_Toc254270032"/>
      <w:r w:rsidRPr="004A2EFD">
        <w:rPr>
          <w:rStyle w:val="apple-style-span"/>
        </w:rPr>
        <w:t>Program budgeting analysis</w:t>
      </w:r>
      <w:bookmarkEnd w:id="48"/>
      <w:r w:rsidRPr="004A2EFD">
        <w:rPr>
          <w:rStyle w:val="apple-style-span"/>
        </w:rPr>
        <w:t xml:space="preserve">  </w:t>
      </w:r>
    </w:p>
    <w:p w:rsidR="00353ED4" w:rsidRPr="004A2EFD" w:rsidRDefault="00353ED4" w:rsidP="008937E1">
      <w:pPr>
        <w:pStyle w:val="Ttulo2"/>
        <w:numPr>
          <w:ilvl w:val="0"/>
          <w:numId w:val="20"/>
        </w:numPr>
        <w:ind w:left="426"/>
        <w:rPr>
          <w:rStyle w:val="apple-style-span"/>
        </w:rPr>
      </w:pPr>
      <w:bookmarkStart w:id="49" w:name="_Toc254270033"/>
      <w:r w:rsidRPr="004A2EFD">
        <w:rPr>
          <w:rStyle w:val="apple-style-span"/>
        </w:rPr>
        <w:t>Analysis of Health Sector Budget (2006-2009)</w:t>
      </w:r>
      <w:bookmarkEnd w:id="49"/>
    </w:p>
    <w:p w:rsidR="00353ED4" w:rsidRPr="006F1EBC" w:rsidRDefault="00353ED4" w:rsidP="00454D41">
      <w:pPr>
        <w:jc w:val="both"/>
        <w:rPr>
          <w:rFonts w:cs="Tahoma"/>
          <w:sz w:val="22"/>
          <w:szCs w:val="22"/>
        </w:rPr>
      </w:pPr>
      <w:r w:rsidRPr="006F1EBC">
        <w:rPr>
          <w:rFonts w:cs="Tahoma"/>
          <w:sz w:val="22"/>
          <w:szCs w:val="22"/>
        </w:rPr>
        <w:t>After the health expenditure slowdown expe</w:t>
      </w:r>
      <w:r>
        <w:rPr>
          <w:rFonts w:cs="Tahoma"/>
          <w:sz w:val="22"/>
          <w:szCs w:val="22"/>
        </w:rPr>
        <w:t>rienced</w:t>
      </w:r>
      <w:r w:rsidRPr="006F1EBC">
        <w:rPr>
          <w:rFonts w:cs="Tahoma"/>
          <w:sz w:val="22"/>
          <w:szCs w:val="22"/>
        </w:rPr>
        <w:t xml:space="preserve"> at the end of </w:t>
      </w:r>
      <w:r>
        <w:rPr>
          <w:rFonts w:cs="Tahoma"/>
          <w:sz w:val="22"/>
          <w:szCs w:val="22"/>
        </w:rPr>
        <w:t>the eighties (which went from 4.</w:t>
      </w:r>
      <w:r w:rsidRPr="006F1EBC">
        <w:rPr>
          <w:rFonts w:cs="Tahoma"/>
          <w:sz w:val="22"/>
          <w:szCs w:val="22"/>
        </w:rPr>
        <w:t>5% of GDP between 1980-1983 to 3.1% in 1990), a gradual recovery of the health expendit</w:t>
      </w:r>
      <w:r>
        <w:rPr>
          <w:rFonts w:cs="Tahoma"/>
          <w:sz w:val="22"/>
          <w:szCs w:val="22"/>
        </w:rPr>
        <w:t>ure level began, reaching the 4.</w:t>
      </w:r>
      <w:r w:rsidRPr="006F1EBC">
        <w:rPr>
          <w:rFonts w:cs="Tahoma"/>
          <w:sz w:val="22"/>
          <w:szCs w:val="22"/>
        </w:rPr>
        <w:t xml:space="preserve">5% of GDP </w:t>
      </w:r>
      <w:r>
        <w:rPr>
          <w:rFonts w:cs="Tahoma"/>
          <w:sz w:val="22"/>
          <w:szCs w:val="22"/>
        </w:rPr>
        <w:t>in</w:t>
      </w:r>
      <w:r w:rsidRPr="006F1EBC">
        <w:rPr>
          <w:rFonts w:cs="Tahoma"/>
          <w:sz w:val="22"/>
          <w:szCs w:val="22"/>
        </w:rPr>
        <w:t xml:space="preserve"> 2005</w:t>
      </w:r>
      <w:r w:rsidRPr="006F1EBC">
        <w:rPr>
          <w:rStyle w:val="Refdenotaalpie"/>
          <w:rFonts w:cs="Tahoma"/>
          <w:bCs/>
          <w:sz w:val="22"/>
          <w:szCs w:val="22"/>
        </w:rPr>
        <w:footnoteReference w:id="14"/>
      </w:r>
      <w:r w:rsidRPr="006F1EBC">
        <w:rPr>
          <w:rFonts w:cs="Tahoma"/>
          <w:sz w:val="22"/>
          <w:szCs w:val="22"/>
        </w:rPr>
        <w:t>, or approximately US$ 3.500 million</w:t>
      </w:r>
      <w:r w:rsidRPr="006F1EBC">
        <w:rPr>
          <w:rStyle w:val="Refdenotaalpie"/>
          <w:rFonts w:cs="Tahoma"/>
          <w:sz w:val="22"/>
          <w:szCs w:val="22"/>
        </w:rPr>
        <w:footnoteReference w:id="15"/>
      </w:r>
      <w:r w:rsidRPr="006F1EBC">
        <w:rPr>
          <w:rFonts w:cs="Tahoma"/>
          <w:sz w:val="22"/>
          <w:szCs w:val="22"/>
        </w:rPr>
        <w:t>.  The percentage of this expense is still below the Latin-American average (around the 8%) and is not enough considering the size of the economy and the necessities for medical care that the country is facing up</w:t>
      </w:r>
      <w:r>
        <w:rPr>
          <w:rFonts w:cs="Tahoma"/>
          <w:sz w:val="22"/>
          <w:szCs w:val="22"/>
        </w:rPr>
        <w:t>.</w:t>
      </w:r>
    </w:p>
    <w:p w:rsidR="00353ED4" w:rsidRDefault="00353ED4" w:rsidP="00454D41">
      <w:pPr>
        <w:jc w:val="both"/>
        <w:rPr>
          <w:sz w:val="22"/>
          <w:szCs w:val="22"/>
        </w:rPr>
      </w:pPr>
      <w:r w:rsidRPr="006F1EBC">
        <w:rPr>
          <w:sz w:val="22"/>
          <w:szCs w:val="22"/>
        </w:rPr>
        <w:t xml:space="preserve">We present in </w:t>
      </w:r>
      <w:r w:rsidR="00132204">
        <w:fldChar w:fldCharType="begin"/>
      </w:r>
      <w:r w:rsidR="00132204">
        <w:instrText xml:space="preserve"> REF _Ref246108119 \h  \* MERGEFORMAT </w:instrText>
      </w:r>
      <w:r w:rsidR="00132204">
        <w:fldChar w:fldCharType="separate"/>
      </w:r>
      <w:r w:rsidRPr="006F1EBC">
        <w:rPr>
          <w:sz w:val="22"/>
          <w:szCs w:val="22"/>
        </w:rPr>
        <w:t xml:space="preserve">Table </w:t>
      </w:r>
      <w:r w:rsidR="00132204">
        <w:fldChar w:fldCharType="end"/>
      </w:r>
      <w:r>
        <w:rPr>
          <w:sz w:val="22"/>
          <w:szCs w:val="22"/>
        </w:rPr>
        <w:t>20</w:t>
      </w:r>
      <w:r w:rsidRPr="006F1EBC">
        <w:rPr>
          <w:sz w:val="22"/>
          <w:szCs w:val="22"/>
        </w:rPr>
        <w:t xml:space="preserve"> results from National Accountings </w:t>
      </w:r>
      <w:r>
        <w:rPr>
          <w:sz w:val="22"/>
          <w:szCs w:val="22"/>
        </w:rPr>
        <w:t xml:space="preserve">of Health </w:t>
      </w:r>
      <w:r w:rsidRPr="006F1EBC">
        <w:rPr>
          <w:sz w:val="22"/>
          <w:szCs w:val="22"/>
        </w:rPr>
        <w:t>(MINSA &amp; CIES, 2008) for the period 1995-2005. The public ex</w:t>
      </w:r>
      <w:r>
        <w:rPr>
          <w:sz w:val="22"/>
          <w:szCs w:val="22"/>
        </w:rPr>
        <w:t>penditure in health services grew 115.</w:t>
      </w:r>
      <w:r w:rsidRPr="006F1EBC">
        <w:rPr>
          <w:sz w:val="22"/>
          <w:szCs w:val="22"/>
        </w:rPr>
        <w:t>6%. This increase must be analyzed in terms of the GDP and of the purchasing capacity per capita of health services</w:t>
      </w:r>
      <w:bookmarkStart w:id="50" w:name="_Ref246108119"/>
      <w:bookmarkStart w:id="51" w:name="_Ref246453732"/>
      <w:r>
        <w:rPr>
          <w:sz w:val="22"/>
          <w:szCs w:val="22"/>
        </w:rPr>
        <w:t>.</w:t>
      </w: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Default="00353ED4" w:rsidP="006B6FAF">
      <w:pPr>
        <w:jc w:val="both"/>
        <w:rPr>
          <w:sz w:val="22"/>
          <w:szCs w:val="22"/>
        </w:rPr>
      </w:pPr>
    </w:p>
    <w:p w:rsidR="00353ED4" w:rsidRPr="00815FA1" w:rsidRDefault="00353ED4" w:rsidP="00454D41">
      <w:pPr>
        <w:pStyle w:val="Epgrafe"/>
        <w:jc w:val="center"/>
        <w:rPr>
          <w:color w:val="auto"/>
          <w:sz w:val="22"/>
        </w:rPr>
      </w:pPr>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20</w:t>
      </w:r>
      <w:r w:rsidRPr="00815FA1">
        <w:rPr>
          <w:color w:val="auto"/>
          <w:sz w:val="22"/>
        </w:rPr>
        <w:fldChar w:fldCharType="end"/>
      </w:r>
      <w:bookmarkEnd w:id="50"/>
      <w:r w:rsidRPr="00815FA1">
        <w:rPr>
          <w:color w:val="auto"/>
          <w:sz w:val="22"/>
        </w:rPr>
        <w:t xml:space="preserve">: </w:t>
      </w:r>
      <w:r>
        <w:rPr>
          <w:color w:val="auto"/>
          <w:sz w:val="22"/>
        </w:rPr>
        <w:t>Main</w:t>
      </w:r>
      <w:r w:rsidRPr="00815FA1">
        <w:rPr>
          <w:color w:val="auto"/>
          <w:sz w:val="22"/>
        </w:rPr>
        <w:t xml:space="preserve"> </w:t>
      </w:r>
      <w:r>
        <w:rPr>
          <w:color w:val="auto"/>
          <w:sz w:val="22"/>
        </w:rPr>
        <w:t>i</w:t>
      </w:r>
      <w:r w:rsidRPr="00815FA1">
        <w:rPr>
          <w:color w:val="auto"/>
          <w:sz w:val="22"/>
        </w:rPr>
        <w:t xml:space="preserve">ndicators of </w:t>
      </w:r>
      <w:r>
        <w:rPr>
          <w:color w:val="auto"/>
          <w:sz w:val="22"/>
        </w:rPr>
        <w:t>h</w:t>
      </w:r>
      <w:r w:rsidRPr="00815FA1">
        <w:rPr>
          <w:color w:val="auto"/>
          <w:sz w:val="22"/>
        </w:rPr>
        <w:t xml:space="preserve">ealth </w:t>
      </w:r>
      <w:r>
        <w:rPr>
          <w:color w:val="auto"/>
          <w:sz w:val="22"/>
        </w:rPr>
        <w:t>e</w:t>
      </w:r>
      <w:r w:rsidRPr="00815FA1">
        <w:rPr>
          <w:color w:val="auto"/>
          <w:sz w:val="22"/>
        </w:rPr>
        <w:t>xpenditure, 1995-2005</w:t>
      </w:r>
      <w:bookmarkEnd w:id="51"/>
    </w:p>
    <w:p w:rsidR="00353ED4" w:rsidRPr="00815FA1" w:rsidRDefault="00132204" w:rsidP="00E353E8">
      <w:pPr>
        <w:ind w:left="-851"/>
      </w:pPr>
      <w:r>
        <w:rPr>
          <w:noProof/>
          <w:lang w:val="es-PE" w:eastAsia="es-PE"/>
        </w:rPr>
        <w:drawing>
          <wp:inline distT="0" distB="0" distL="0" distR="0">
            <wp:extent cx="6962775" cy="2990850"/>
            <wp:effectExtent l="0" t="0" r="9525" b="0"/>
            <wp:docPr id="8"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62775" cy="2990850"/>
                    </a:xfrm>
                    <a:prstGeom prst="rect">
                      <a:avLst/>
                    </a:prstGeom>
                    <a:noFill/>
                    <a:ln>
                      <a:noFill/>
                    </a:ln>
                  </pic:spPr>
                </pic:pic>
              </a:graphicData>
            </a:graphic>
          </wp:inline>
        </w:drawing>
      </w:r>
    </w:p>
    <w:p w:rsidR="00353ED4" w:rsidRPr="00B83F31" w:rsidRDefault="00353ED4" w:rsidP="00DF3E3D">
      <w:pPr>
        <w:jc w:val="both"/>
        <w:rPr>
          <w:sz w:val="22"/>
        </w:rPr>
      </w:pPr>
      <w:r w:rsidRPr="00B83F31">
        <w:rPr>
          <w:sz w:val="22"/>
        </w:rPr>
        <w:t>Source: MINSA/CIES, 2008</w:t>
      </w:r>
    </w:p>
    <w:p w:rsidR="00353ED4" w:rsidRPr="00B83F31" w:rsidRDefault="00353ED4" w:rsidP="00454D41">
      <w:pPr>
        <w:jc w:val="both"/>
        <w:rPr>
          <w:sz w:val="22"/>
          <w:szCs w:val="22"/>
        </w:rPr>
      </w:pPr>
      <w:r>
        <w:rPr>
          <w:sz w:val="22"/>
          <w:szCs w:val="22"/>
        </w:rPr>
        <w:t>Expressed in terms of GDP</w:t>
      </w:r>
      <w:r w:rsidRPr="00B83F31">
        <w:rPr>
          <w:sz w:val="22"/>
          <w:szCs w:val="22"/>
        </w:rPr>
        <w:t>, we can appreciate an upward trend in the middle of the period, explained by the lower growth in real GDP; afterwards, this trend decreases as the real GDP increases, obtaining at the end of the period almost the same results from the beginning: 4.48% in 1995</w:t>
      </w:r>
      <w:r>
        <w:rPr>
          <w:sz w:val="22"/>
          <w:szCs w:val="22"/>
        </w:rPr>
        <w:t xml:space="preserve">; </w:t>
      </w:r>
      <w:r w:rsidRPr="00B83F31">
        <w:rPr>
          <w:sz w:val="22"/>
          <w:szCs w:val="22"/>
        </w:rPr>
        <w:t xml:space="preserve">4,46% in 2005. </w:t>
      </w:r>
    </w:p>
    <w:p w:rsidR="00353ED4" w:rsidRDefault="00353ED4" w:rsidP="00B43F05">
      <w:pPr>
        <w:jc w:val="both"/>
        <w:rPr>
          <w:sz w:val="22"/>
          <w:szCs w:val="22"/>
        </w:rPr>
      </w:pPr>
      <w:r w:rsidRPr="00B83F31">
        <w:rPr>
          <w:sz w:val="22"/>
          <w:szCs w:val="22"/>
        </w:rPr>
        <w:t>In real terms, compared with the beginning of the period, the expenditure per ca</w:t>
      </w:r>
      <w:r>
        <w:rPr>
          <w:sz w:val="22"/>
          <w:szCs w:val="22"/>
        </w:rPr>
        <w:t xml:space="preserve">pita in health services didn’t </w:t>
      </w:r>
      <w:r w:rsidRPr="00B83F31">
        <w:rPr>
          <w:sz w:val="22"/>
          <w:szCs w:val="22"/>
        </w:rPr>
        <w:t>raise. That was mostly attributed to the rise of the Health Price Inde</w:t>
      </w:r>
      <w:r>
        <w:rPr>
          <w:sz w:val="22"/>
          <w:szCs w:val="22"/>
        </w:rPr>
        <w:t>x and the growth population (14.</w:t>
      </w:r>
      <w:r w:rsidRPr="00B83F31">
        <w:rPr>
          <w:sz w:val="22"/>
          <w:szCs w:val="22"/>
        </w:rPr>
        <w:t>5%). If we compare the prices evolution during the period, the Healthcare Pr</w:t>
      </w:r>
      <w:r>
        <w:rPr>
          <w:sz w:val="22"/>
          <w:szCs w:val="22"/>
        </w:rPr>
        <w:t>ice Index growth nearly doubled (86.</w:t>
      </w:r>
      <w:r w:rsidRPr="00B83F31">
        <w:rPr>
          <w:sz w:val="22"/>
          <w:szCs w:val="22"/>
        </w:rPr>
        <w:t>1%)</w:t>
      </w:r>
      <w:r>
        <w:rPr>
          <w:sz w:val="22"/>
          <w:szCs w:val="22"/>
        </w:rPr>
        <w:t xml:space="preserve"> the general price increase growth (48.</w:t>
      </w:r>
      <w:r w:rsidRPr="00B83F31">
        <w:rPr>
          <w:sz w:val="22"/>
          <w:szCs w:val="22"/>
        </w:rPr>
        <w:t>2%), expressed by the Consumer Price Index (IPC)</w:t>
      </w:r>
      <w:r>
        <w:rPr>
          <w:sz w:val="22"/>
          <w:szCs w:val="22"/>
        </w:rPr>
        <w:t>.</w:t>
      </w:r>
      <w:r w:rsidRPr="00B83F31">
        <w:rPr>
          <w:sz w:val="22"/>
          <w:szCs w:val="22"/>
        </w:rPr>
        <w:t xml:space="preserve"> </w:t>
      </w:r>
    </w:p>
    <w:p w:rsidR="00353ED4" w:rsidRPr="00B83F31" w:rsidRDefault="00353ED4" w:rsidP="002D58A1">
      <w:pPr>
        <w:jc w:val="both"/>
        <w:rPr>
          <w:rStyle w:val="apple-style-span"/>
          <w:sz w:val="22"/>
          <w:szCs w:val="22"/>
        </w:rPr>
      </w:pPr>
      <w:r w:rsidRPr="00B83F31">
        <w:rPr>
          <w:sz w:val="22"/>
          <w:szCs w:val="22"/>
        </w:rPr>
        <w:t>Fo</w:t>
      </w:r>
      <w:r>
        <w:rPr>
          <w:sz w:val="22"/>
          <w:szCs w:val="22"/>
        </w:rPr>
        <w:t>r the period 2006-2009 there is</w:t>
      </w:r>
      <w:r w:rsidRPr="00B83F31">
        <w:rPr>
          <w:sz w:val="22"/>
          <w:szCs w:val="22"/>
        </w:rPr>
        <w:t xml:space="preserve"> no information on general health national accounting (as MINSA &amp; CIES present for the period 1995-2005). We analyze the budget based on information from SIAF. More s</w:t>
      </w:r>
      <w:r w:rsidRPr="00B83F31">
        <w:rPr>
          <w:rStyle w:val="apple-style-span"/>
          <w:sz w:val="22"/>
          <w:szCs w:val="22"/>
        </w:rPr>
        <w:t>pecifically, budgeting information has been retrieved from the Peruvian M</w:t>
      </w:r>
      <w:r>
        <w:rPr>
          <w:rStyle w:val="apple-style-span"/>
          <w:sz w:val="22"/>
          <w:szCs w:val="22"/>
        </w:rPr>
        <w:t>EF</w:t>
      </w:r>
      <w:r w:rsidRPr="00B83F31">
        <w:rPr>
          <w:rStyle w:val="apple-style-span"/>
          <w:sz w:val="22"/>
          <w:szCs w:val="22"/>
        </w:rPr>
        <w:t>; from the online program managed by SIAF (</w:t>
      </w:r>
      <w:r>
        <w:rPr>
          <w:rStyle w:val="apple-style-span"/>
          <w:sz w:val="22"/>
          <w:szCs w:val="22"/>
        </w:rPr>
        <w:t xml:space="preserve">Financial </w:t>
      </w:r>
      <w:r w:rsidRPr="00B83F31">
        <w:rPr>
          <w:rStyle w:val="apple-style-span"/>
          <w:sz w:val="22"/>
          <w:szCs w:val="22"/>
        </w:rPr>
        <w:t>Administration</w:t>
      </w:r>
      <w:r>
        <w:rPr>
          <w:rStyle w:val="apple-style-span"/>
          <w:sz w:val="22"/>
          <w:szCs w:val="22"/>
        </w:rPr>
        <w:t xml:space="preserve"> Integrated </w:t>
      </w:r>
      <w:r w:rsidRPr="00B83F31">
        <w:rPr>
          <w:rStyle w:val="apple-style-span"/>
          <w:sz w:val="22"/>
          <w:szCs w:val="22"/>
        </w:rPr>
        <w:t xml:space="preserve">System). </w:t>
      </w:r>
      <w:r>
        <w:rPr>
          <w:rStyle w:val="apple-style-span"/>
          <w:sz w:val="22"/>
          <w:szCs w:val="22"/>
        </w:rPr>
        <w:t>W</w:t>
      </w:r>
      <w:r w:rsidRPr="00B83F31">
        <w:rPr>
          <w:rStyle w:val="apple-style-span"/>
          <w:sz w:val="22"/>
          <w:szCs w:val="22"/>
        </w:rPr>
        <w:t>e used SIAF’s database for the specific Health Sector.</w:t>
      </w:r>
    </w:p>
    <w:p w:rsidR="00353ED4" w:rsidRDefault="00353ED4" w:rsidP="000A6642">
      <w:pPr>
        <w:jc w:val="both"/>
        <w:rPr>
          <w:rStyle w:val="apple-style-span"/>
        </w:rPr>
      </w:pPr>
      <w:r w:rsidRPr="00815FA1">
        <w:rPr>
          <w:rStyle w:val="apple-style-span"/>
        </w:rPr>
        <w:t xml:space="preserve"> </w:t>
      </w:r>
    </w:p>
    <w:p w:rsidR="00353ED4" w:rsidRDefault="00353ED4" w:rsidP="000A6642">
      <w:pPr>
        <w:jc w:val="both"/>
        <w:rPr>
          <w:rStyle w:val="apple-style-span"/>
        </w:rPr>
      </w:pPr>
    </w:p>
    <w:p w:rsidR="00353ED4" w:rsidRDefault="00353ED4" w:rsidP="000A6642">
      <w:pPr>
        <w:jc w:val="both"/>
        <w:rPr>
          <w:rStyle w:val="apple-style-span"/>
        </w:rPr>
      </w:pPr>
    </w:p>
    <w:p w:rsidR="00353ED4" w:rsidRPr="004A2EFD" w:rsidRDefault="00353ED4" w:rsidP="00B5075C">
      <w:pPr>
        <w:pStyle w:val="Ttulo2"/>
        <w:numPr>
          <w:ilvl w:val="0"/>
          <w:numId w:val="20"/>
        </w:numPr>
        <w:rPr>
          <w:rStyle w:val="apple-style-span"/>
        </w:rPr>
      </w:pPr>
      <w:bookmarkStart w:id="52" w:name="_Toc254270034"/>
      <w:r w:rsidRPr="004A2EFD">
        <w:rPr>
          <w:rStyle w:val="apple-style-span"/>
        </w:rPr>
        <w:t>Methodology and assumptions</w:t>
      </w:r>
      <w:bookmarkEnd w:id="52"/>
      <w:r w:rsidRPr="004A2EFD">
        <w:rPr>
          <w:rStyle w:val="apple-style-span"/>
        </w:rPr>
        <w:t xml:space="preserve"> </w:t>
      </w:r>
    </w:p>
    <w:p w:rsidR="00353ED4" w:rsidRPr="006B6FAF" w:rsidRDefault="00353ED4" w:rsidP="002D58A1">
      <w:pPr>
        <w:jc w:val="both"/>
        <w:rPr>
          <w:rStyle w:val="apple-style-span"/>
          <w:sz w:val="22"/>
          <w:szCs w:val="22"/>
        </w:rPr>
      </w:pPr>
      <w:r w:rsidRPr="006B6FAF">
        <w:rPr>
          <w:rStyle w:val="apple-style-span"/>
          <w:sz w:val="22"/>
          <w:szCs w:val="22"/>
        </w:rPr>
        <w:t>To classify the different types of government intervention we chose the Budget Program</w:t>
      </w:r>
      <w:r>
        <w:rPr>
          <w:rStyle w:val="apple-style-span"/>
          <w:sz w:val="22"/>
          <w:szCs w:val="22"/>
        </w:rPr>
        <w:t>s</w:t>
      </w:r>
      <w:r w:rsidRPr="006B6FAF">
        <w:rPr>
          <w:rStyle w:val="apple-style-span"/>
          <w:sz w:val="22"/>
          <w:szCs w:val="22"/>
        </w:rPr>
        <w:t xml:space="preserve">. To differentiate the level of facilities, we used the type of Executing Unit. The Executing Units of the Public Health Sector are the same </w:t>
      </w:r>
      <w:r>
        <w:rPr>
          <w:rStyle w:val="apple-style-span"/>
          <w:sz w:val="22"/>
          <w:szCs w:val="22"/>
        </w:rPr>
        <w:t xml:space="preserve">ones </w:t>
      </w:r>
      <w:r w:rsidRPr="006B6FAF">
        <w:rPr>
          <w:rStyle w:val="apple-style-span"/>
          <w:sz w:val="22"/>
          <w:szCs w:val="22"/>
        </w:rPr>
        <w:t>located under the M</w:t>
      </w:r>
      <w:r>
        <w:rPr>
          <w:rStyle w:val="apple-style-span"/>
          <w:sz w:val="22"/>
          <w:szCs w:val="22"/>
        </w:rPr>
        <w:t>INSA</w:t>
      </w:r>
      <w:r w:rsidRPr="006B6FAF">
        <w:rPr>
          <w:rStyle w:val="apple-style-span"/>
          <w:sz w:val="22"/>
          <w:szCs w:val="22"/>
        </w:rPr>
        <w:t xml:space="preserve"> in </w:t>
      </w:r>
      <w:r w:rsidR="00132204">
        <w:fldChar w:fldCharType="begin"/>
      </w:r>
      <w:r w:rsidR="00132204">
        <w:instrText xml:space="preserve"> REF _Ref245841186 \h  \* MERGEFORMAT </w:instrText>
      </w:r>
      <w:r w:rsidR="00132204">
        <w:fldChar w:fldCharType="separate"/>
      </w:r>
      <w:r w:rsidRPr="006B6FAF">
        <w:rPr>
          <w:sz w:val="22"/>
          <w:szCs w:val="22"/>
        </w:rPr>
        <w:t>Graphic 1</w:t>
      </w:r>
      <w:r w:rsidR="00132204">
        <w:fldChar w:fldCharType="end"/>
      </w:r>
      <w:r w:rsidRPr="006B6FAF">
        <w:rPr>
          <w:rStyle w:val="apple-style-span"/>
          <w:sz w:val="22"/>
          <w:szCs w:val="22"/>
        </w:rPr>
        <w:t>. This analysis allows differentiating the ends of the expenditure by level of complexity of the establishments and institutions that execute it.</w:t>
      </w:r>
    </w:p>
    <w:p w:rsidR="00353ED4" w:rsidRPr="006B6FAF" w:rsidRDefault="00353ED4" w:rsidP="000A6642">
      <w:pPr>
        <w:jc w:val="both"/>
        <w:rPr>
          <w:rStyle w:val="apple-style-span"/>
          <w:sz w:val="22"/>
          <w:szCs w:val="22"/>
        </w:rPr>
      </w:pPr>
      <w:r w:rsidRPr="006B6FAF">
        <w:rPr>
          <w:rStyle w:val="apple-style-span"/>
          <w:sz w:val="22"/>
          <w:szCs w:val="22"/>
        </w:rPr>
        <w:t>We consider the following budget programs</w:t>
      </w:r>
      <w:r>
        <w:rPr>
          <w:rStyle w:val="apple-style-span"/>
          <w:sz w:val="22"/>
          <w:szCs w:val="22"/>
        </w:rPr>
        <w:t xml:space="preserve"> as part of the Public Health Sector</w:t>
      </w:r>
      <w:r w:rsidRPr="006B6FAF">
        <w:rPr>
          <w:rStyle w:val="apple-style-span"/>
          <w:sz w:val="22"/>
          <w:szCs w:val="22"/>
        </w:rPr>
        <w:t>:</w:t>
      </w:r>
    </w:p>
    <w:p w:rsidR="00353ED4" w:rsidRPr="006B6FAF" w:rsidRDefault="00353ED4" w:rsidP="00FF0C6A">
      <w:pPr>
        <w:numPr>
          <w:ilvl w:val="0"/>
          <w:numId w:val="8"/>
        </w:numPr>
        <w:spacing w:after="120"/>
        <w:jc w:val="both"/>
        <w:rPr>
          <w:rStyle w:val="apple-style-span"/>
          <w:sz w:val="22"/>
          <w:szCs w:val="22"/>
        </w:rPr>
      </w:pPr>
      <w:r w:rsidRPr="006B6FAF">
        <w:rPr>
          <w:rStyle w:val="apple-style-span"/>
          <w:sz w:val="22"/>
          <w:szCs w:val="22"/>
        </w:rPr>
        <w:t xml:space="preserve">Collective Health: defined as actions oriented to health promotion and risk prevention for the population. Among the main categories within this group are: Training of human resources (32% of Collective Health expenditure in 2008), Control of health risks and damages (26%) and sanitary regulation and control (15%). </w:t>
      </w:r>
    </w:p>
    <w:p w:rsidR="00353ED4" w:rsidRPr="006B6FAF" w:rsidRDefault="00353ED4" w:rsidP="00B43F05">
      <w:pPr>
        <w:numPr>
          <w:ilvl w:val="0"/>
          <w:numId w:val="8"/>
        </w:numPr>
        <w:spacing w:after="120"/>
        <w:jc w:val="both"/>
        <w:rPr>
          <w:rStyle w:val="apple-style-span"/>
          <w:sz w:val="22"/>
          <w:szCs w:val="22"/>
        </w:rPr>
      </w:pPr>
      <w:r w:rsidRPr="006B6FAF">
        <w:rPr>
          <w:rStyle w:val="apple-style-span"/>
          <w:sz w:val="22"/>
          <w:szCs w:val="22"/>
        </w:rPr>
        <w:t xml:space="preserve">Individual Health: actions oriented to individual health recovery and rehabilitation. Within this group of expenditure, Specialized and Basic Medical Attention </w:t>
      </w:r>
      <w:r>
        <w:rPr>
          <w:rStyle w:val="apple-style-span"/>
          <w:sz w:val="22"/>
          <w:szCs w:val="22"/>
        </w:rPr>
        <w:t>are</w:t>
      </w:r>
      <w:r w:rsidRPr="006B6FAF">
        <w:rPr>
          <w:rStyle w:val="apple-style-span"/>
          <w:sz w:val="22"/>
          <w:szCs w:val="22"/>
        </w:rPr>
        <w:t xml:space="preserve">, by far, the main categories (41% and 43% respectively, of the total of Individual Health for 2008). </w:t>
      </w:r>
    </w:p>
    <w:p w:rsidR="00353ED4" w:rsidRPr="006B6FAF" w:rsidRDefault="00353ED4" w:rsidP="002D58A1">
      <w:pPr>
        <w:numPr>
          <w:ilvl w:val="0"/>
          <w:numId w:val="8"/>
        </w:numPr>
        <w:spacing w:after="120"/>
        <w:jc w:val="both"/>
        <w:rPr>
          <w:rStyle w:val="apple-style-span"/>
          <w:sz w:val="22"/>
          <w:szCs w:val="22"/>
        </w:rPr>
      </w:pPr>
      <w:r w:rsidRPr="006B6FAF">
        <w:rPr>
          <w:rStyle w:val="apple-style-span"/>
          <w:sz w:val="22"/>
          <w:szCs w:val="22"/>
        </w:rPr>
        <w:t xml:space="preserve">Other expenditure: includes the programs referred to the expenses to sustain the public health administration. The main source of expenditure is the Administration Program, with 93% of this category. It also includes Government Planning (Superior Supervision and Coordination, and Internal Control) and Science and Technology (Research and </w:t>
      </w:r>
      <w:r>
        <w:rPr>
          <w:rStyle w:val="apple-style-span"/>
          <w:sz w:val="22"/>
          <w:szCs w:val="22"/>
        </w:rPr>
        <w:t>D</w:t>
      </w:r>
      <w:r w:rsidRPr="006B6FAF">
        <w:rPr>
          <w:rStyle w:val="apple-style-span"/>
          <w:sz w:val="22"/>
          <w:szCs w:val="22"/>
        </w:rPr>
        <w:t>evelopment financed by MINSA; 0.7% of the other expenditure</w:t>
      </w:r>
      <w:r>
        <w:rPr>
          <w:rStyle w:val="apple-style-span"/>
          <w:sz w:val="22"/>
          <w:szCs w:val="22"/>
        </w:rPr>
        <w:t>)</w:t>
      </w:r>
      <w:r w:rsidRPr="006B6FAF">
        <w:rPr>
          <w:rStyle w:val="apple-style-span"/>
          <w:sz w:val="22"/>
          <w:szCs w:val="22"/>
        </w:rPr>
        <w:t xml:space="preserve">. </w:t>
      </w:r>
    </w:p>
    <w:p w:rsidR="00353ED4" w:rsidRPr="006B6FAF" w:rsidRDefault="00353ED4" w:rsidP="00B43F05">
      <w:pPr>
        <w:spacing w:after="120"/>
        <w:ind w:left="720"/>
        <w:jc w:val="both"/>
        <w:rPr>
          <w:rStyle w:val="apple-style-span"/>
          <w:sz w:val="22"/>
          <w:szCs w:val="22"/>
        </w:rPr>
      </w:pPr>
      <w:r w:rsidRPr="006B6FAF">
        <w:rPr>
          <w:rStyle w:val="apple-style-span"/>
          <w:sz w:val="22"/>
          <w:szCs w:val="22"/>
        </w:rPr>
        <w:t>For each program, we classify the type of establishment and institution where the expenditure is destined:</w:t>
      </w:r>
    </w:p>
    <w:p w:rsidR="00353ED4" w:rsidRPr="006B6FAF" w:rsidRDefault="00353ED4" w:rsidP="009F1020">
      <w:pPr>
        <w:numPr>
          <w:ilvl w:val="0"/>
          <w:numId w:val="10"/>
        </w:numPr>
        <w:spacing w:after="120"/>
        <w:jc w:val="both"/>
        <w:rPr>
          <w:rStyle w:val="apple-style-span"/>
          <w:sz w:val="22"/>
          <w:szCs w:val="22"/>
        </w:rPr>
      </w:pPr>
      <w:r w:rsidRPr="006B6FAF">
        <w:rPr>
          <w:rStyle w:val="apple-style-span"/>
          <w:sz w:val="22"/>
          <w:szCs w:val="22"/>
        </w:rPr>
        <w:t xml:space="preserve">Health Center and Dispensary: which are proxies of first and second level </w:t>
      </w:r>
      <w:r>
        <w:rPr>
          <w:rStyle w:val="apple-style-span"/>
          <w:sz w:val="22"/>
          <w:szCs w:val="22"/>
        </w:rPr>
        <w:t xml:space="preserve">of </w:t>
      </w:r>
      <w:r w:rsidRPr="006B6FAF">
        <w:rPr>
          <w:rStyle w:val="apple-style-span"/>
          <w:sz w:val="22"/>
          <w:szCs w:val="22"/>
        </w:rPr>
        <w:t>attention; the non complex interventions.</w:t>
      </w:r>
    </w:p>
    <w:p w:rsidR="00353ED4" w:rsidRPr="006B6FAF" w:rsidRDefault="00353ED4" w:rsidP="008937E1">
      <w:pPr>
        <w:numPr>
          <w:ilvl w:val="0"/>
          <w:numId w:val="10"/>
        </w:numPr>
        <w:spacing w:after="120"/>
        <w:ind w:left="709"/>
        <w:jc w:val="both"/>
        <w:rPr>
          <w:rStyle w:val="apple-style-span"/>
          <w:sz w:val="22"/>
          <w:szCs w:val="22"/>
        </w:rPr>
      </w:pPr>
      <w:r w:rsidRPr="006B6FAF">
        <w:rPr>
          <w:rStyle w:val="apple-style-span"/>
          <w:sz w:val="22"/>
          <w:szCs w:val="22"/>
        </w:rPr>
        <w:t>Hospitals: includes Institutes. It includes the more complex level of intervention (these establishments are specialized and have more resolutive capacity)</w:t>
      </w:r>
    </w:p>
    <w:p w:rsidR="00353ED4" w:rsidRPr="006B6FAF" w:rsidRDefault="00353ED4" w:rsidP="002D58A1">
      <w:pPr>
        <w:numPr>
          <w:ilvl w:val="0"/>
          <w:numId w:val="10"/>
        </w:numPr>
        <w:spacing w:after="120"/>
        <w:ind w:left="709"/>
        <w:jc w:val="both"/>
        <w:rPr>
          <w:rStyle w:val="apple-style-span"/>
          <w:b/>
          <w:sz w:val="22"/>
          <w:szCs w:val="22"/>
        </w:rPr>
      </w:pPr>
      <w:r w:rsidRPr="006B6FAF">
        <w:rPr>
          <w:rStyle w:val="apple-style-span"/>
          <w:sz w:val="22"/>
          <w:szCs w:val="22"/>
        </w:rPr>
        <w:t>OPDs</w:t>
      </w:r>
      <w:r>
        <w:rPr>
          <w:rStyle w:val="apple-style-span"/>
          <w:sz w:val="22"/>
          <w:szCs w:val="22"/>
        </w:rPr>
        <w:t xml:space="preserve"> (Decentralized Public Organisms)</w:t>
      </w:r>
      <w:r w:rsidRPr="006B6FAF">
        <w:rPr>
          <w:rStyle w:val="apple-style-span"/>
          <w:sz w:val="22"/>
          <w:szCs w:val="22"/>
        </w:rPr>
        <w:t xml:space="preserve">: we </w:t>
      </w:r>
      <w:r>
        <w:rPr>
          <w:rStyle w:val="apple-style-span"/>
          <w:sz w:val="22"/>
          <w:szCs w:val="22"/>
        </w:rPr>
        <w:t>i</w:t>
      </w:r>
      <w:r w:rsidRPr="006B6FAF">
        <w:rPr>
          <w:rStyle w:val="apple-style-span"/>
          <w:sz w:val="22"/>
          <w:szCs w:val="22"/>
        </w:rPr>
        <w:t>nclude the Superintendence of Health Providers Entities (EPS), Integrated Health Insurance (SIS, representing 87% of the OPD</w:t>
      </w:r>
      <w:r>
        <w:rPr>
          <w:rStyle w:val="apple-style-span"/>
          <w:sz w:val="22"/>
          <w:szCs w:val="22"/>
        </w:rPr>
        <w:t>s</w:t>
      </w:r>
      <w:r w:rsidRPr="006B6FAF">
        <w:rPr>
          <w:rStyle w:val="apple-style-span"/>
          <w:sz w:val="22"/>
          <w:szCs w:val="22"/>
        </w:rPr>
        <w:t xml:space="preserve"> budget for 2008), Human Resources Development Institute and National Health Institute. </w:t>
      </w:r>
    </w:p>
    <w:p w:rsidR="00353ED4" w:rsidRPr="006B6FAF" w:rsidRDefault="00353ED4" w:rsidP="008937E1">
      <w:pPr>
        <w:numPr>
          <w:ilvl w:val="0"/>
          <w:numId w:val="10"/>
        </w:numPr>
        <w:spacing w:after="120"/>
        <w:ind w:left="709"/>
        <w:jc w:val="both"/>
        <w:rPr>
          <w:rStyle w:val="apple-style-span"/>
          <w:b/>
          <w:sz w:val="22"/>
          <w:szCs w:val="22"/>
        </w:rPr>
      </w:pPr>
      <w:r w:rsidRPr="006B6FAF">
        <w:rPr>
          <w:rStyle w:val="apple-style-span"/>
          <w:sz w:val="22"/>
          <w:szCs w:val="22"/>
        </w:rPr>
        <w:t>Ministerial Administration: includes MINSA’s administration expenditures in its Head Office in Lima and PARSALUD’s budget</w:t>
      </w:r>
      <w:r w:rsidRPr="006B6FAF">
        <w:rPr>
          <w:rStyle w:val="Refdenotaalpie"/>
          <w:sz w:val="22"/>
          <w:szCs w:val="22"/>
        </w:rPr>
        <w:footnoteReference w:id="16"/>
      </w:r>
      <w:r w:rsidRPr="006B6FAF">
        <w:rPr>
          <w:rStyle w:val="apple-style-span"/>
          <w:sz w:val="22"/>
          <w:szCs w:val="22"/>
        </w:rPr>
        <w:t>.</w:t>
      </w:r>
    </w:p>
    <w:p w:rsidR="00353ED4" w:rsidRPr="006B6FAF" w:rsidRDefault="00353ED4" w:rsidP="002D58A1">
      <w:pPr>
        <w:spacing w:after="120"/>
        <w:jc w:val="both"/>
        <w:rPr>
          <w:rStyle w:val="apple-style-span"/>
          <w:sz w:val="22"/>
          <w:szCs w:val="22"/>
        </w:rPr>
      </w:pPr>
      <w:r>
        <w:rPr>
          <w:sz w:val="22"/>
          <w:szCs w:val="22"/>
        </w:rPr>
        <w:t>F</w:t>
      </w:r>
      <w:r w:rsidRPr="006B6FAF">
        <w:rPr>
          <w:sz w:val="22"/>
          <w:szCs w:val="22"/>
        </w:rPr>
        <w:t xml:space="preserve">or the </w:t>
      </w:r>
      <w:r w:rsidRPr="006B6FAF">
        <w:rPr>
          <w:rStyle w:val="apple-style-span"/>
          <w:sz w:val="22"/>
          <w:szCs w:val="22"/>
        </w:rPr>
        <w:t xml:space="preserve">Health Public sector </w:t>
      </w:r>
      <w:r>
        <w:rPr>
          <w:rStyle w:val="apple-style-span"/>
          <w:sz w:val="22"/>
          <w:szCs w:val="22"/>
        </w:rPr>
        <w:t xml:space="preserve">we </w:t>
      </w:r>
      <w:r w:rsidRPr="006B6FAF">
        <w:rPr>
          <w:rStyle w:val="apple-style-span"/>
          <w:sz w:val="22"/>
          <w:szCs w:val="22"/>
        </w:rPr>
        <w:t xml:space="preserve">only </w:t>
      </w:r>
      <w:r>
        <w:rPr>
          <w:rStyle w:val="apple-style-span"/>
          <w:sz w:val="22"/>
          <w:szCs w:val="22"/>
        </w:rPr>
        <w:t xml:space="preserve">consider </w:t>
      </w:r>
      <w:r w:rsidRPr="006B6FAF">
        <w:rPr>
          <w:rStyle w:val="apple-style-span"/>
          <w:sz w:val="22"/>
          <w:szCs w:val="22"/>
        </w:rPr>
        <w:t xml:space="preserve">the Ministry’s expenses. The analysis doesn’t </w:t>
      </w:r>
      <w:r>
        <w:rPr>
          <w:rStyle w:val="apple-style-span"/>
          <w:sz w:val="22"/>
          <w:szCs w:val="22"/>
        </w:rPr>
        <w:t>include</w:t>
      </w:r>
      <w:r w:rsidRPr="006B6FAF">
        <w:rPr>
          <w:rStyle w:val="apple-style-span"/>
          <w:sz w:val="22"/>
          <w:szCs w:val="22"/>
        </w:rPr>
        <w:t xml:space="preserve"> EsSalud, which is an important pa</w:t>
      </w:r>
      <w:r>
        <w:rPr>
          <w:rStyle w:val="apple-style-span"/>
          <w:sz w:val="22"/>
          <w:szCs w:val="22"/>
        </w:rPr>
        <w:t xml:space="preserve">rt of the health expenses but </w:t>
      </w:r>
      <w:r w:rsidRPr="006B6FAF">
        <w:rPr>
          <w:rStyle w:val="apple-style-span"/>
          <w:sz w:val="22"/>
          <w:szCs w:val="22"/>
        </w:rPr>
        <w:t>is not considered in the Public Budget (as it’s financed entirely by directly collected resources). We also left out Armed and Police Forces heal</w:t>
      </w:r>
      <w:r>
        <w:rPr>
          <w:rStyle w:val="apple-style-span"/>
          <w:sz w:val="22"/>
          <w:szCs w:val="22"/>
        </w:rPr>
        <w:t>th expenses and the expenditure that</w:t>
      </w:r>
      <w:r w:rsidRPr="006B6FAF">
        <w:rPr>
          <w:rStyle w:val="apple-style-span"/>
          <w:sz w:val="22"/>
          <w:szCs w:val="22"/>
        </w:rPr>
        <w:t xml:space="preserve"> public universities execute in health (as support to their students).</w:t>
      </w:r>
    </w:p>
    <w:p w:rsidR="00353ED4" w:rsidRPr="006B6FAF" w:rsidRDefault="00353ED4" w:rsidP="009F1020">
      <w:pPr>
        <w:spacing w:after="120"/>
        <w:jc w:val="both"/>
        <w:rPr>
          <w:rStyle w:val="apple-style-span"/>
          <w:sz w:val="22"/>
          <w:szCs w:val="22"/>
        </w:rPr>
      </w:pPr>
      <w:r w:rsidRPr="00C331C1">
        <w:rPr>
          <w:rStyle w:val="apple-style-span"/>
          <w:sz w:val="22"/>
          <w:szCs w:val="22"/>
        </w:rPr>
        <w:t>On the other hand, we consider the Non Personal Services as part of wages (originally in Goods and Services).</w:t>
      </w:r>
    </w:p>
    <w:p w:rsidR="00353ED4" w:rsidRPr="00815FA1" w:rsidRDefault="00353ED4" w:rsidP="00DF3E3D">
      <w:pPr>
        <w:pStyle w:val="Ttulo2"/>
        <w:numPr>
          <w:ilvl w:val="0"/>
          <w:numId w:val="20"/>
        </w:numPr>
        <w:rPr>
          <w:rStyle w:val="apple-style-span"/>
        </w:rPr>
      </w:pPr>
      <w:bookmarkStart w:id="53" w:name="_Toc254270035"/>
      <w:r w:rsidRPr="00815FA1">
        <w:rPr>
          <w:rStyle w:val="apple-style-span"/>
        </w:rPr>
        <w:t>Tables for Program Budgeting Analysis</w:t>
      </w:r>
      <w:bookmarkEnd w:id="53"/>
    </w:p>
    <w:p w:rsidR="00353ED4" w:rsidRPr="00C331C1" w:rsidRDefault="00353ED4" w:rsidP="002D58A1">
      <w:pPr>
        <w:jc w:val="both"/>
        <w:rPr>
          <w:sz w:val="22"/>
          <w:szCs w:val="22"/>
        </w:rPr>
      </w:pPr>
      <w:r>
        <w:rPr>
          <w:sz w:val="22"/>
          <w:szCs w:val="22"/>
        </w:rPr>
        <w:t xml:space="preserve">Table 21 </w:t>
      </w:r>
      <w:r w:rsidRPr="00C331C1">
        <w:rPr>
          <w:sz w:val="22"/>
          <w:szCs w:val="22"/>
        </w:rPr>
        <w:t>sh</w:t>
      </w:r>
      <w:r>
        <w:rPr>
          <w:sz w:val="22"/>
          <w:szCs w:val="22"/>
        </w:rPr>
        <w:t>ows the main health expenditure</w:t>
      </w:r>
      <w:r w:rsidRPr="00C331C1">
        <w:rPr>
          <w:sz w:val="22"/>
          <w:szCs w:val="22"/>
        </w:rPr>
        <w:t xml:space="preserve"> indicators for </w:t>
      </w:r>
      <w:r>
        <w:rPr>
          <w:sz w:val="22"/>
          <w:szCs w:val="22"/>
        </w:rPr>
        <w:t xml:space="preserve">the </w:t>
      </w:r>
      <w:r w:rsidRPr="00C331C1">
        <w:rPr>
          <w:sz w:val="22"/>
          <w:szCs w:val="22"/>
        </w:rPr>
        <w:t>period 2006-2008. Since it has been constructed considering only MINSA</w:t>
      </w:r>
      <w:r>
        <w:rPr>
          <w:sz w:val="22"/>
          <w:szCs w:val="22"/>
        </w:rPr>
        <w:t>´s expenditure</w:t>
      </w:r>
      <w:r w:rsidRPr="00C331C1">
        <w:rPr>
          <w:sz w:val="22"/>
          <w:szCs w:val="22"/>
        </w:rPr>
        <w:t xml:space="preserve">, it is not comparable with </w:t>
      </w:r>
      <w:r>
        <w:rPr>
          <w:sz w:val="22"/>
          <w:szCs w:val="22"/>
        </w:rPr>
        <w:t>Table 20.</w:t>
      </w:r>
      <w:r w:rsidRPr="00C331C1">
        <w:rPr>
          <w:sz w:val="22"/>
          <w:szCs w:val="22"/>
        </w:rPr>
        <w:t xml:space="preserve"> </w:t>
      </w:r>
    </w:p>
    <w:p w:rsidR="00353ED4" w:rsidRPr="00815FA1" w:rsidRDefault="00353ED4" w:rsidP="002D58A1">
      <w:pPr>
        <w:pStyle w:val="Epgrafe"/>
        <w:jc w:val="center"/>
        <w:rPr>
          <w:color w:val="auto"/>
          <w:sz w:val="22"/>
        </w:rPr>
      </w:pPr>
      <w:bookmarkStart w:id="54" w:name="_Ref246108197"/>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21</w:t>
      </w:r>
      <w:r w:rsidRPr="00815FA1">
        <w:rPr>
          <w:color w:val="auto"/>
          <w:sz w:val="22"/>
        </w:rPr>
        <w:fldChar w:fldCharType="end"/>
      </w:r>
      <w:bookmarkEnd w:id="54"/>
      <w:r w:rsidRPr="00815FA1">
        <w:rPr>
          <w:color w:val="auto"/>
          <w:sz w:val="22"/>
        </w:rPr>
        <w:t xml:space="preserve">: Principal </w:t>
      </w:r>
      <w:r>
        <w:rPr>
          <w:color w:val="auto"/>
          <w:sz w:val="22"/>
        </w:rPr>
        <w:t>i</w:t>
      </w:r>
      <w:r w:rsidRPr="00815FA1">
        <w:rPr>
          <w:color w:val="auto"/>
          <w:sz w:val="22"/>
        </w:rPr>
        <w:t xml:space="preserve">ndicators of </w:t>
      </w:r>
      <w:r>
        <w:rPr>
          <w:color w:val="auto"/>
          <w:sz w:val="22"/>
        </w:rPr>
        <w:t>h</w:t>
      </w:r>
      <w:r w:rsidRPr="00815FA1">
        <w:rPr>
          <w:color w:val="auto"/>
          <w:sz w:val="22"/>
        </w:rPr>
        <w:t xml:space="preserve">ealth </w:t>
      </w:r>
      <w:r>
        <w:rPr>
          <w:color w:val="auto"/>
          <w:sz w:val="22"/>
        </w:rPr>
        <w:t>e</w:t>
      </w:r>
      <w:r w:rsidRPr="00815FA1">
        <w:rPr>
          <w:color w:val="auto"/>
          <w:sz w:val="22"/>
        </w:rPr>
        <w:t>xpenditure,  2006-2008</w:t>
      </w:r>
    </w:p>
    <w:p w:rsidR="00353ED4" w:rsidRPr="00815FA1" w:rsidRDefault="00132204" w:rsidP="00046D0C">
      <w:pPr>
        <w:jc w:val="center"/>
      </w:pPr>
      <w:r>
        <w:rPr>
          <w:noProof/>
          <w:lang w:val="es-PE" w:eastAsia="es-PE"/>
        </w:rPr>
        <w:drawing>
          <wp:inline distT="0" distB="0" distL="0" distR="0">
            <wp:extent cx="5276850" cy="1676400"/>
            <wp:effectExtent l="0" t="0" r="0" b="0"/>
            <wp:docPr id="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1676400"/>
                    </a:xfrm>
                    <a:prstGeom prst="rect">
                      <a:avLst/>
                    </a:prstGeom>
                    <a:noFill/>
                    <a:ln>
                      <a:noFill/>
                    </a:ln>
                  </pic:spPr>
                </pic:pic>
              </a:graphicData>
            </a:graphic>
          </wp:inline>
        </w:drawing>
      </w:r>
    </w:p>
    <w:p w:rsidR="00353ED4" w:rsidRPr="00C331C1" w:rsidRDefault="00353ED4" w:rsidP="00B5075C">
      <w:pPr>
        <w:ind w:firstLine="708"/>
        <w:jc w:val="both"/>
        <w:rPr>
          <w:sz w:val="22"/>
          <w:szCs w:val="22"/>
        </w:rPr>
      </w:pPr>
      <w:r w:rsidRPr="00C331C1">
        <w:rPr>
          <w:sz w:val="22"/>
          <w:szCs w:val="22"/>
        </w:rPr>
        <w:t>Source: INEI, SIAF</w:t>
      </w:r>
    </w:p>
    <w:p w:rsidR="00353ED4" w:rsidRPr="00C331C1" w:rsidRDefault="00353ED4" w:rsidP="002D58A1">
      <w:pPr>
        <w:jc w:val="both"/>
        <w:rPr>
          <w:sz w:val="22"/>
          <w:szCs w:val="22"/>
        </w:rPr>
      </w:pPr>
      <w:r w:rsidRPr="00C331C1">
        <w:rPr>
          <w:sz w:val="22"/>
          <w:szCs w:val="22"/>
        </w:rPr>
        <w:t xml:space="preserve">MINSA’s health expenditure for the period 2006-2008 doesn’t </w:t>
      </w:r>
      <w:r>
        <w:rPr>
          <w:sz w:val="22"/>
          <w:szCs w:val="22"/>
        </w:rPr>
        <w:t xml:space="preserve">present a positive trend in its </w:t>
      </w:r>
      <w:r w:rsidRPr="00C331C1">
        <w:rPr>
          <w:sz w:val="22"/>
          <w:szCs w:val="22"/>
        </w:rPr>
        <w:t xml:space="preserve">growth rate; on the contrary, expenditure falls in 2008. The per capita expenditure </w:t>
      </w:r>
      <w:r>
        <w:rPr>
          <w:sz w:val="22"/>
          <w:szCs w:val="22"/>
        </w:rPr>
        <w:t>was</w:t>
      </w:r>
      <w:r w:rsidRPr="00C331C1">
        <w:rPr>
          <w:sz w:val="22"/>
          <w:szCs w:val="22"/>
        </w:rPr>
        <w:t xml:space="preserve"> 50 dollars</w:t>
      </w:r>
      <w:r>
        <w:rPr>
          <w:sz w:val="22"/>
          <w:szCs w:val="22"/>
        </w:rPr>
        <w:t>.</w:t>
      </w:r>
      <w:r w:rsidRPr="00C331C1">
        <w:rPr>
          <w:sz w:val="22"/>
          <w:szCs w:val="22"/>
        </w:rPr>
        <w:t xml:space="preserve"> However, it is important to realize that </w:t>
      </w:r>
      <w:r>
        <w:rPr>
          <w:sz w:val="22"/>
          <w:szCs w:val="22"/>
        </w:rPr>
        <w:t xml:space="preserve">Table 21 </w:t>
      </w:r>
      <w:r w:rsidRPr="00C331C1">
        <w:rPr>
          <w:sz w:val="22"/>
          <w:szCs w:val="22"/>
        </w:rPr>
        <w:t>doesn’t include EsSalud or private expenditure. EsSalud alone represents a higher number than MINSA’s total expenditure (for 2006, EsSalud executed 4,191 millions of Nuevos Soles). However information regarding EsSalud expenditure isn’t up to date.</w:t>
      </w:r>
    </w:p>
    <w:p w:rsidR="00353ED4" w:rsidRPr="002D58A1" w:rsidRDefault="00353ED4" w:rsidP="002A7834">
      <w:pPr>
        <w:jc w:val="both"/>
        <w:rPr>
          <w:sz w:val="22"/>
          <w:szCs w:val="22"/>
        </w:rPr>
      </w:pPr>
      <w:r w:rsidRPr="002D58A1">
        <w:rPr>
          <w:sz w:val="22"/>
          <w:szCs w:val="22"/>
        </w:rPr>
        <w:t>Table 22 presents the public health budget as a percentage of the total public budget. The proportion of expenditure in health is low. As a fact, developed countries spend</w:t>
      </w:r>
      <w:r>
        <w:rPr>
          <w:sz w:val="22"/>
          <w:szCs w:val="22"/>
        </w:rPr>
        <w:t xml:space="preserve"> around 10%-</w:t>
      </w:r>
      <w:r w:rsidRPr="002D58A1">
        <w:rPr>
          <w:sz w:val="22"/>
          <w:szCs w:val="22"/>
        </w:rPr>
        <w:t xml:space="preserve">14% of the total government expenditure in health. </w:t>
      </w:r>
    </w:p>
    <w:p w:rsidR="00353ED4" w:rsidRPr="002A7834" w:rsidRDefault="00353ED4" w:rsidP="002A7834">
      <w:pPr>
        <w:jc w:val="both"/>
        <w:rPr>
          <w:sz w:val="22"/>
          <w:szCs w:val="22"/>
        </w:rPr>
      </w:pPr>
      <w:r w:rsidRPr="002A7834">
        <w:rPr>
          <w:sz w:val="22"/>
          <w:szCs w:val="22"/>
        </w:rPr>
        <w:t xml:space="preserve">Regional governments </w:t>
      </w:r>
      <w:bookmarkStart w:id="55" w:name="_Ref246860546"/>
      <w:r w:rsidRPr="002A7834">
        <w:rPr>
          <w:sz w:val="22"/>
          <w:szCs w:val="22"/>
        </w:rPr>
        <w:t>are beginning to execute directly increasing proportions of resources from the Public Treasury, keeping their execution autonomy regard to MINSA, because the MEF deliveries directly to them. This is an important result of decentralization, which has consequences in the MINSA directorate and shows the need of a more coordinated roll between MINSA and MEF.</w:t>
      </w:r>
    </w:p>
    <w:p w:rsidR="00353ED4" w:rsidRDefault="00353ED4" w:rsidP="002A7834">
      <w:pPr>
        <w:spacing w:after="0" w:line="240" w:lineRule="auto"/>
        <w:jc w:val="center"/>
        <w:rPr>
          <w:b/>
          <w:sz w:val="22"/>
          <w:szCs w:val="22"/>
        </w:rPr>
      </w:pPr>
      <w:r w:rsidRPr="002A7834">
        <w:rPr>
          <w:b/>
          <w:sz w:val="22"/>
          <w:szCs w:val="22"/>
        </w:rPr>
        <w:t xml:space="preserve">Table </w:t>
      </w:r>
      <w:r w:rsidRPr="002A7834">
        <w:rPr>
          <w:b/>
          <w:sz w:val="22"/>
          <w:szCs w:val="22"/>
        </w:rPr>
        <w:fldChar w:fldCharType="begin"/>
      </w:r>
      <w:r w:rsidRPr="002A7834">
        <w:rPr>
          <w:b/>
          <w:sz w:val="22"/>
          <w:szCs w:val="22"/>
        </w:rPr>
        <w:instrText xml:space="preserve"> SEQ Chart \* ARABIC </w:instrText>
      </w:r>
      <w:r w:rsidRPr="002A7834">
        <w:rPr>
          <w:b/>
          <w:sz w:val="22"/>
          <w:szCs w:val="22"/>
        </w:rPr>
        <w:fldChar w:fldCharType="separate"/>
      </w:r>
      <w:r w:rsidRPr="002A7834">
        <w:rPr>
          <w:b/>
          <w:sz w:val="22"/>
          <w:szCs w:val="22"/>
        </w:rPr>
        <w:t>22</w:t>
      </w:r>
      <w:r w:rsidRPr="002A7834">
        <w:rPr>
          <w:b/>
          <w:sz w:val="22"/>
          <w:szCs w:val="22"/>
        </w:rPr>
        <w:fldChar w:fldCharType="end"/>
      </w:r>
      <w:bookmarkEnd w:id="55"/>
      <w:r w:rsidRPr="002A7834">
        <w:rPr>
          <w:b/>
          <w:sz w:val="22"/>
          <w:szCs w:val="22"/>
        </w:rPr>
        <w:t>: Public Health Budget as a percentage of the Total Public Budget</w:t>
      </w:r>
    </w:p>
    <w:p w:rsidR="00353ED4" w:rsidRPr="002A7834" w:rsidRDefault="00353ED4" w:rsidP="002A7834">
      <w:pPr>
        <w:spacing w:after="0" w:line="240" w:lineRule="auto"/>
        <w:jc w:val="center"/>
        <w:rPr>
          <w:b/>
          <w:sz w:val="22"/>
          <w:szCs w:val="22"/>
        </w:rPr>
      </w:pPr>
      <w:r w:rsidRPr="002A7834">
        <w:rPr>
          <w:b/>
          <w:sz w:val="22"/>
          <w:szCs w:val="22"/>
        </w:rPr>
        <w:t>(Millions of Nuevos Soles)</w:t>
      </w:r>
    </w:p>
    <w:p w:rsidR="00353ED4" w:rsidRPr="00815FA1" w:rsidRDefault="00353ED4" w:rsidP="002D58A1">
      <w:pPr>
        <w:spacing w:after="0" w:line="240" w:lineRule="auto"/>
        <w:jc w:val="center"/>
        <w:rPr>
          <w:b/>
        </w:rPr>
      </w:pPr>
    </w:p>
    <w:tbl>
      <w:tblPr>
        <w:tblW w:w="8148" w:type="dxa"/>
        <w:jc w:val="center"/>
        <w:tblCellSpacing w:w="0" w:type="dxa"/>
        <w:tblCellMar>
          <w:left w:w="0" w:type="dxa"/>
          <w:right w:w="0" w:type="dxa"/>
        </w:tblCellMar>
        <w:tblLook w:val="0000" w:firstRow="0" w:lastRow="0" w:firstColumn="0" w:lastColumn="0" w:noHBand="0" w:noVBand="0"/>
      </w:tblPr>
      <w:tblGrid>
        <w:gridCol w:w="2386"/>
        <w:gridCol w:w="1142"/>
        <w:gridCol w:w="1142"/>
        <w:gridCol w:w="1200"/>
        <w:gridCol w:w="1142"/>
        <w:gridCol w:w="1136"/>
      </w:tblGrid>
      <w:tr w:rsidR="00353ED4" w:rsidRPr="00815FA1">
        <w:trPr>
          <w:trHeight w:val="465"/>
          <w:tblCellSpacing w:w="0" w:type="dxa"/>
          <w:jc w:val="center"/>
        </w:trPr>
        <w:tc>
          <w:tcPr>
            <w:tcW w:w="2386" w:type="dxa"/>
            <w:tcBorders>
              <w:top w:val="single" w:sz="12" w:space="0" w:color="000000"/>
              <w:left w:val="single" w:sz="12" w:space="0" w:color="000000"/>
              <w:bottom w:val="single" w:sz="6" w:space="0" w:color="000000"/>
              <w:right w:val="single" w:sz="6" w:space="0" w:color="000000"/>
            </w:tcBorders>
            <w:shd w:val="clear" w:color="auto" w:fill="297083"/>
            <w:vAlign w:val="center"/>
          </w:tcPr>
          <w:p w:rsidR="00353ED4" w:rsidRPr="00815FA1" w:rsidRDefault="00353ED4" w:rsidP="00CD640C">
            <w:pPr>
              <w:spacing w:after="0"/>
              <w:jc w:val="center"/>
            </w:pPr>
          </w:p>
        </w:tc>
        <w:tc>
          <w:tcPr>
            <w:tcW w:w="1142" w:type="dxa"/>
            <w:tcBorders>
              <w:top w:val="single" w:sz="12" w:space="0" w:color="000000"/>
              <w:left w:val="single" w:sz="6" w:space="0" w:color="000000"/>
              <w:bottom w:val="single" w:sz="6" w:space="0" w:color="000000"/>
              <w:right w:val="single" w:sz="6" w:space="0" w:color="000000"/>
            </w:tcBorders>
            <w:shd w:val="clear" w:color="auto" w:fill="297083"/>
            <w:vAlign w:val="center"/>
          </w:tcPr>
          <w:p w:rsidR="00353ED4" w:rsidRPr="00815FA1" w:rsidRDefault="00353ED4" w:rsidP="00CD640C">
            <w:pPr>
              <w:spacing w:after="0"/>
              <w:jc w:val="center"/>
            </w:pPr>
            <w:r w:rsidRPr="00815FA1">
              <w:rPr>
                <w:b/>
              </w:rPr>
              <w:t>2004</w:t>
            </w:r>
          </w:p>
        </w:tc>
        <w:tc>
          <w:tcPr>
            <w:tcW w:w="1142" w:type="dxa"/>
            <w:tcBorders>
              <w:top w:val="single" w:sz="12" w:space="0" w:color="000000"/>
              <w:left w:val="single" w:sz="6" w:space="0" w:color="000000"/>
              <w:bottom w:val="single" w:sz="6" w:space="0" w:color="000000"/>
              <w:right w:val="single" w:sz="6" w:space="0" w:color="000000"/>
            </w:tcBorders>
            <w:shd w:val="clear" w:color="auto" w:fill="297083"/>
            <w:vAlign w:val="center"/>
          </w:tcPr>
          <w:p w:rsidR="00353ED4" w:rsidRPr="00815FA1" w:rsidRDefault="00353ED4" w:rsidP="00CD640C">
            <w:pPr>
              <w:spacing w:after="0"/>
              <w:jc w:val="center"/>
            </w:pPr>
            <w:r w:rsidRPr="00815FA1">
              <w:rPr>
                <w:b/>
              </w:rPr>
              <w:t>2005</w:t>
            </w:r>
          </w:p>
        </w:tc>
        <w:tc>
          <w:tcPr>
            <w:tcW w:w="1200" w:type="dxa"/>
            <w:tcBorders>
              <w:top w:val="single" w:sz="12" w:space="0" w:color="000000"/>
              <w:left w:val="single" w:sz="6" w:space="0" w:color="000000"/>
              <w:bottom w:val="single" w:sz="6" w:space="0" w:color="000000"/>
              <w:right w:val="single" w:sz="6" w:space="0" w:color="000000"/>
            </w:tcBorders>
            <w:shd w:val="clear" w:color="auto" w:fill="297083"/>
            <w:vAlign w:val="center"/>
          </w:tcPr>
          <w:p w:rsidR="00353ED4" w:rsidRPr="00815FA1" w:rsidRDefault="00353ED4" w:rsidP="00CD640C">
            <w:pPr>
              <w:spacing w:after="0"/>
              <w:jc w:val="center"/>
            </w:pPr>
            <w:r w:rsidRPr="00815FA1">
              <w:rPr>
                <w:b/>
              </w:rPr>
              <w:t>2006</w:t>
            </w:r>
          </w:p>
        </w:tc>
        <w:tc>
          <w:tcPr>
            <w:tcW w:w="1142" w:type="dxa"/>
            <w:tcBorders>
              <w:top w:val="single" w:sz="12" w:space="0" w:color="000000"/>
              <w:left w:val="single" w:sz="6" w:space="0" w:color="000000"/>
              <w:bottom w:val="single" w:sz="6" w:space="0" w:color="000000"/>
              <w:right w:val="single" w:sz="12" w:space="0" w:color="000000"/>
            </w:tcBorders>
            <w:shd w:val="clear" w:color="auto" w:fill="297083"/>
            <w:vAlign w:val="center"/>
          </w:tcPr>
          <w:p w:rsidR="00353ED4" w:rsidRPr="00815FA1" w:rsidRDefault="00353ED4" w:rsidP="00CD640C">
            <w:pPr>
              <w:spacing w:after="0"/>
              <w:jc w:val="center"/>
            </w:pPr>
            <w:r w:rsidRPr="00815FA1">
              <w:rPr>
                <w:b/>
              </w:rPr>
              <w:t>2007</w:t>
            </w:r>
          </w:p>
        </w:tc>
        <w:tc>
          <w:tcPr>
            <w:tcW w:w="1136" w:type="dxa"/>
            <w:tcBorders>
              <w:top w:val="single" w:sz="12" w:space="0" w:color="000000"/>
              <w:left w:val="single" w:sz="6" w:space="0" w:color="000000"/>
              <w:bottom w:val="single" w:sz="6" w:space="0" w:color="000000"/>
              <w:right w:val="single" w:sz="12" w:space="0" w:color="000000"/>
            </w:tcBorders>
            <w:shd w:val="clear" w:color="auto" w:fill="297083"/>
            <w:vAlign w:val="center"/>
          </w:tcPr>
          <w:p w:rsidR="00353ED4" w:rsidRPr="00815FA1" w:rsidRDefault="00353ED4" w:rsidP="00CD640C">
            <w:pPr>
              <w:spacing w:after="0"/>
              <w:jc w:val="center"/>
              <w:rPr>
                <w:b/>
              </w:rPr>
            </w:pPr>
            <w:r w:rsidRPr="00815FA1">
              <w:rPr>
                <w:b/>
              </w:rPr>
              <w:t>2008*</w:t>
            </w:r>
          </w:p>
        </w:tc>
      </w:tr>
      <w:tr w:rsidR="00353ED4" w:rsidRPr="00815FA1">
        <w:trPr>
          <w:trHeight w:val="221"/>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General Public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44,113</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44,728</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50,692</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61,627</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71,657</w:t>
            </w:r>
          </w:p>
        </w:tc>
      </w:tr>
      <w:tr w:rsidR="00353ED4" w:rsidRPr="00815FA1">
        <w:trPr>
          <w:trHeight w:val="420"/>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Health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3,215</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3,338</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3,763</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pPr>
            <w:r w:rsidRPr="00815FA1">
              <w:rPr>
                <w:b/>
              </w:rPr>
              <w:t>4,078</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4,264</w:t>
            </w:r>
          </w:p>
        </w:tc>
      </w:tr>
      <w:tr w:rsidR="00353ED4" w:rsidRPr="00815FA1">
        <w:trPr>
          <w:trHeight w:val="420"/>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 of the General Public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7.3</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7.5</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7.5</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pPr>
            <w:r w:rsidRPr="00815FA1">
              <w:rPr>
                <w:b/>
              </w:rPr>
              <w:t>6.6</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5.9</w:t>
            </w:r>
          </w:p>
        </w:tc>
      </w:tr>
      <w:tr w:rsidR="00353ED4" w:rsidRPr="00815FA1">
        <w:trPr>
          <w:trHeight w:val="420"/>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Health Ministry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2,041</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2,226</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2,448</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pPr>
            <w:r w:rsidRPr="00815FA1">
              <w:rPr>
                <w:b/>
              </w:rPr>
              <w:t>2,665</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2,348</w:t>
            </w:r>
          </w:p>
        </w:tc>
      </w:tr>
      <w:tr w:rsidR="00353ED4" w:rsidRPr="00815FA1">
        <w:trPr>
          <w:trHeight w:val="465"/>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 of the General Public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4.6</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5.0</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4.8</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pPr>
            <w:r w:rsidRPr="00815FA1">
              <w:rPr>
                <w:b/>
              </w:rPr>
              <w:t>4.3</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b/>
              </w:rPr>
            </w:pPr>
            <w:r w:rsidRPr="00815FA1">
              <w:rPr>
                <w:b/>
              </w:rPr>
              <w:t>3.3</w:t>
            </w:r>
          </w:p>
        </w:tc>
      </w:tr>
      <w:tr w:rsidR="00353ED4" w:rsidRPr="00815FA1">
        <w:trPr>
          <w:trHeight w:val="465"/>
          <w:tblCellSpacing w:w="0" w:type="dxa"/>
          <w:jc w:val="center"/>
        </w:trPr>
        <w:tc>
          <w:tcPr>
            <w:tcW w:w="2386" w:type="dxa"/>
            <w:tcBorders>
              <w:top w:val="single" w:sz="6" w:space="0" w:color="000000"/>
              <w:left w:val="single" w:sz="12" w:space="0" w:color="000000"/>
              <w:bottom w:val="single" w:sz="6" w:space="0" w:color="000000"/>
              <w:right w:val="single" w:sz="6" w:space="0" w:color="000000"/>
            </w:tcBorders>
          </w:tcPr>
          <w:p w:rsidR="00353ED4" w:rsidRPr="00815FA1" w:rsidRDefault="00353ED4" w:rsidP="00CD640C">
            <w:pPr>
              <w:spacing w:after="0"/>
            </w:pPr>
            <w:r w:rsidRPr="00815FA1">
              <w:t>Regional Governments-Health Budget</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1,174</w:t>
            </w:r>
          </w:p>
        </w:tc>
        <w:tc>
          <w:tcPr>
            <w:tcW w:w="1142"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1,112</w:t>
            </w:r>
          </w:p>
        </w:tc>
        <w:tc>
          <w:tcPr>
            <w:tcW w:w="1200" w:type="dxa"/>
            <w:tcBorders>
              <w:top w:val="single" w:sz="6" w:space="0" w:color="000000"/>
              <w:left w:val="single" w:sz="6" w:space="0" w:color="000000"/>
              <w:bottom w:val="single" w:sz="6" w:space="0" w:color="000000"/>
              <w:right w:val="single" w:sz="6" w:space="0" w:color="000000"/>
            </w:tcBorders>
          </w:tcPr>
          <w:p w:rsidR="00353ED4" w:rsidRPr="00815FA1" w:rsidRDefault="00353ED4" w:rsidP="00CD640C">
            <w:pPr>
              <w:spacing w:after="0"/>
              <w:jc w:val="center"/>
            </w:pPr>
            <w:r w:rsidRPr="00815FA1">
              <w:rPr>
                <w:b/>
              </w:rPr>
              <w:t>1,335</w:t>
            </w:r>
          </w:p>
        </w:tc>
        <w:tc>
          <w:tcPr>
            <w:tcW w:w="1142"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pPr>
            <w:r w:rsidRPr="00815FA1">
              <w:rPr>
                <w:b/>
              </w:rPr>
              <w:t>1,413</w:t>
            </w:r>
          </w:p>
        </w:tc>
        <w:tc>
          <w:tcPr>
            <w:tcW w:w="1136" w:type="dxa"/>
            <w:tcBorders>
              <w:top w:val="single" w:sz="6" w:space="0" w:color="000000"/>
              <w:left w:val="single" w:sz="6" w:space="0" w:color="000000"/>
              <w:bottom w:val="single" w:sz="6" w:space="0" w:color="000000"/>
              <w:right w:val="single" w:sz="12" w:space="0" w:color="000000"/>
            </w:tcBorders>
          </w:tcPr>
          <w:p w:rsidR="00353ED4" w:rsidRPr="00815FA1" w:rsidRDefault="00353ED4" w:rsidP="00CD640C">
            <w:pPr>
              <w:spacing w:after="0"/>
              <w:jc w:val="center"/>
              <w:rPr>
                <w:color w:val="000000"/>
              </w:rPr>
            </w:pPr>
            <w:r w:rsidRPr="00815FA1">
              <w:rPr>
                <w:b/>
              </w:rPr>
              <w:t>1,916</w:t>
            </w:r>
          </w:p>
        </w:tc>
      </w:tr>
      <w:tr w:rsidR="00353ED4" w:rsidRPr="00815FA1">
        <w:trPr>
          <w:trHeight w:val="420"/>
          <w:tblCellSpacing w:w="0" w:type="dxa"/>
          <w:jc w:val="center"/>
        </w:trPr>
        <w:tc>
          <w:tcPr>
            <w:tcW w:w="2386" w:type="dxa"/>
            <w:tcBorders>
              <w:top w:val="single" w:sz="6" w:space="0" w:color="000000"/>
              <w:left w:val="single" w:sz="12" w:space="0" w:color="000000"/>
              <w:bottom w:val="single" w:sz="12" w:space="0" w:color="000000"/>
              <w:right w:val="single" w:sz="6" w:space="0" w:color="000000"/>
            </w:tcBorders>
          </w:tcPr>
          <w:p w:rsidR="00353ED4" w:rsidRPr="00815FA1" w:rsidRDefault="00353ED4" w:rsidP="00CD640C">
            <w:pPr>
              <w:spacing w:after="0"/>
            </w:pPr>
            <w:r w:rsidRPr="00815FA1">
              <w:t>% of the General Public Budget</w:t>
            </w:r>
          </w:p>
        </w:tc>
        <w:tc>
          <w:tcPr>
            <w:tcW w:w="1142" w:type="dxa"/>
            <w:tcBorders>
              <w:top w:val="single" w:sz="6" w:space="0" w:color="000000"/>
              <w:left w:val="single" w:sz="6" w:space="0" w:color="000000"/>
              <w:bottom w:val="single" w:sz="12" w:space="0" w:color="000000"/>
              <w:right w:val="single" w:sz="6" w:space="0" w:color="000000"/>
            </w:tcBorders>
          </w:tcPr>
          <w:p w:rsidR="00353ED4" w:rsidRPr="00815FA1" w:rsidRDefault="00353ED4" w:rsidP="00CD640C">
            <w:pPr>
              <w:spacing w:after="0"/>
              <w:jc w:val="center"/>
            </w:pPr>
            <w:r w:rsidRPr="00815FA1">
              <w:rPr>
                <w:b/>
              </w:rPr>
              <w:t>2.7</w:t>
            </w:r>
          </w:p>
        </w:tc>
        <w:tc>
          <w:tcPr>
            <w:tcW w:w="1142" w:type="dxa"/>
            <w:tcBorders>
              <w:top w:val="single" w:sz="6" w:space="0" w:color="000000"/>
              <w:left w:val="single" w:sz="6" w:space="0" w:color="000000"/>
              <w:bottom w:val="single" w:sz="12" w:space="0" w:color="000000"/>
              <w:right w:val="single" w:sz="6" w:space="0" w:color="000000"/>
            </w:tcBorders>
          </w:tcPr>
          <w:p w:rsidR="00353ED4" w:rsidRPr="00815FA1" w:rsidRDefault="00353ED4" w:rsidP="00CD640C">
            <w:pPr>
              <w:spacing w:after="0"/>
              <w:jc w:val="center"/>
            </w:pPr>
            <w:r w:rsidRPr="00815FA1">
              <w:rPr>
                <w:b/>
              </w:rPr>
              <w:t>2.5</w:t>
            </w:r>
          </w:p>
        </w:tc>
        <w:tc>
          <w:tcPr>
            <w:tcW w:w="1200" w:type="dxa"/>
            <w:tcBorders>
              <w:top w:val="single" w:sz="6" w:space="0" w:color="000000"/>
              <w:left w:val="single" w:sz="6" w:space="0" w:color="000000"/>
              <w:bottom w:val="single" w:sz="12" w:space="0" w:color="000000"/>
              <w:right w:val="single" w:sz="6" w:space="0" w:color="000000"/>
            </w:tcBorders>
          </w:tcPr>
          <w:p w:rsidR="00353ED4" w:rsidRPr="00815FA1" w:rsidRDefault="00353ED4" w:rsidP="00CD640C">
            <w:pPr>
              <w:spacing w:after="0"/>
              <w:jc w:val="center"/>
            </w:pPr>
            <w:r w:rsidRPr="00815FA1">
              <w:rPr>
                <w:b/>
              </w:rPr>
              <w:t>2.7</w:t>
            </w:r>
          </w:p>
        </w:tc>
        <w:tc>
          <w:tcPr>
            <w:tcW w:w="1142" w:type="dxa"/>
            <w:tcBorders>
              <w:top w:val="single" w:sz="6" w:space="0" w:color="000000"/>
              <w:left w:val="single" w:sz="6" w:space="0" w:color="000000"/>
              <w:bottom w:val="single" w:sz="12" w:space="0" w:color="000000"/>
              <w:right w:val="single" w:sz="12" w:space="0" w:color="000000"/>
            </w:tcBorders>
          </w:tcPr>
          <w:p w:rsidR="00353ED4" w:rsidRPr="00815FA1" w:rsidRDefault="00353ED4" w:rsidP="00CD640C">
            <w:pPr>
              <w:spacing w:after="0"/>
              <w:jc w:val="center"/>
            </w:pPr>
            <w:r w:rsidRPr="00815FA1">
              <w:rPr>
                <w:b/>
              </w:rPr>
              <w:t>2.3</w:t>
            </w:r>
          </w:p>
        </w:tc>
        <w:tc>
          <w:tcPr>
            <w:tcW w:w="1136" w:type="dxa"/>
            <w:tcBorders>
              <w:top w:val="single" w:sz="6" w:space="0" w:color="000000"/>
              <w:left w:val="single" w:sz="6" w:space="0" w:color="000000"/>
              <w:bottom w:val="single" w:sz="12" w:space="0" w:color="000000"/>
              <w:right w:val="single" w:sz="12" w:space="0" w:color="000000"/>
            </w:tcBorders>
          </w:tcPr>
          <w:p w:rsidR="00353ED4" w:rsidRPr="00815FA1" w:rsidRDefault="00353ED4" w:rsidP="00CD640C">
            <w:pPr>
              <w:spacing w:after="0"/>
              <w:jc w:val="center"/>
              <w:rPr>
                <w:b/>
              </w:rPr>
            </w:pPr>
            <w:r w:rsidRPr="00815FA1">
              <w:rPr>
                <w:b/>
              </w:rPr>
              <w:t>2.7</w:t>
            </w:r>
          </w:p>
        </w:tc>
      </w:tr>
    </w:tbl>
    <w:p w:rsidR="00353ED4" w:rsidRDefault="00353ED4" w:rsidP="002D58A1">
      <w:pPr>
        <w:ind w:left="705"/>
        <w:rPr>
          <w:sz w:val="22"/>
          <w:szCs w:val="22"/>
        </w:rPr>
      </w:pPr>
      <w:r w:rsidRPr="00863203">
        <w:rPr>
          <w:sz w:val="22"/>
          <w:szCs w:val="22"/>
        </w:rPr>
        <w:t xml:space="preserve">Source: Developed by O. Ugarte with MEF y MINSA data, Institutional Opening Budget 2008. Includes updates </w:t>
      </w:r>
      <w:r>
        <w:rPr>
          <w:sz w:val="22"/>
          <w:szCs w:val="22"/>
        </w:rPr>
        <w:t xml:space="preserve">based on </w:t>
      </w:r>
      <w:r w:rsidRPr="00863203">
        <w:rPr>
          <w:sz w:val="22"/>
          <w:szCs w:val="22"/>
        </w:rPr>
        <w:t>the executed expenditure</w:t>
      </w:r>
      <w:r>
        <w:rPr>
          <w:sz w:val="22"/>
          <w:szCs w:val="22"/>
        </w:rPr>
        <w:t>.</w:t>
      </w:r>
    </w:p>
    <w:p w:rsidR="00353ED4" w:rsidRPr="00FE065B" w:rsidRDefault="00353ED4" w:rsidP="002D58A1">
      <w:pPr>
        <w:spacing w:before="0" w:after="0" w:line="360" w:lineRule="auto"/>
        <w:jc w:val="both"/>
        <w:rPr>
          <w:sz w:val="22"/>
          <w:szCs w:val="22"/>
        </w:rPr>
      </w:pPr>
      <w:r w:rsidRPr="00FE065B">
        <w:rPr>
          <w:sz w:val="22"/>
          <w:szCs w:val="22"/>
        </w:rPr>
        <w:t xml:space="preserve">But, in spite of </w:t>
      </w:r>
      <w:r>
        <w:rPr>
          <w:sz w:val="22"/>
          <w:szCs w:val="22"/>
        </w:rPr>
        <w:t xml:space="preserve">MINSA financing </w:t>
      </w:r>
      <w:r w:rsidRPr="00FE065B">
        <w:rPr>
          <w:sz w:val="22"/>
          <w:szCs w:val="22"/>
        </w:rPr>
        <w:t>reduction to the regions, an important level of atomization of the MINSA remittances still remains. These should be organized and gather according to functions, which will permit to improve the negotiation capacity of a budget expansion. More specifically, one of the objectives that haven’t been reached yet is the integral restructuration of the administrative and operative systems of MINSA.</w:t>
      </w:r>
    </w:p>
    <w:p w:rsidR="00353ED4" w:rsidRPr="00863203" w:rsidRDefault="00353ED4" w:rsidP="002D58A1">
      <w:pPr>
        <w:spacing w:before="0" w:after="0" w:line="360" w:lineRule="auto"/>
        <w:jc w:val="both"/>
        <w:rPr>
          <w:rFonts w:cs="Tahoma"/>
          <w:sz w:val="22"/>
          <w:szCs w:val="22"/>
        </w:rPr>
      </w:pPr>
    </w:p>
    <w:p w:rsidR="00353ED4" w:rsidRPr="00863203" w:rsidRDefault="00353ED4" w:rsidP="009C294A">
      <w:pPr>
        <w:spacing w:before="0" w:after="0" w:line="360" w:lineRule="auto"/>
        <w:jc w:val="both"/>
        <w:rPr>
          <w:rFonts w:cs="Tahoma"/>
          <w:sz w:val="22"/>
          <w:szCs w:val="22"/>
        </w:rPr>
      </w:pPr>
      <w:r w:rsidRPr="00863203">
        <w:rPr>
          <w:rFonts w:cs="Tahoma"/>
          <w:sz w:val="22"/>
          <w:szCs w:val="22"/>
        </w:rPr>
        <w:t>On the other hand, a</w:t>
      </w:r>
      <w:r w:rsidRPr="002D58A1">
        <w:rPr>
          <w:rFonts w:cs="Tahoma"/>
          <w:sz w:val="22"/>
          <w:szCs w:val="22"/>
        </w:rPr>
        <w:t xml:space="preserve"> general concern relates to the</w:t>
      </w:r>
      <w:r w:rsidRPr="00863203">
        <w:rPr>
          <w:rFonts w:cs="Tahoma"/>
          <w:sz w:val="22"/>
          <w:szCs w:val="22"/>
        </w:rPr>
        <w:t xml:space="preserve"> </w:t>
      </w:r>
      <w:r>
        <w:rPr>
          <w:rFonts w:cs="Tahoma"/>
          <w:sz w:val="22"/>
          <w:szCs w:val="22"/>
        </w:rPr>
        <w:t xml:space="preserve">region´s </w:t>
      </w:r>
      <w:r w:rsidRPr="00863203">
        <w:rPr>
          <w:rFonts w:cs="Tahoma"/>
          <w:sz w:val="22"/>
          <w:szCs w:val="22"/>
        </w:rPr>
        <w:t>capacity of execution in health</w:t>
      </w:r>
      <w:r>
        <w:rPr>
          <w:rFonts w:cs="Tahoma"/>
          <w:sz w:val="22"/>
          <w:szCs w:val="22"/>
        </w:rPr>
        <w:t xml:space="preserve">. </w:t>
      </w:r>
      <w:r w:rsidRPr="00863203">
        <w:rPr>
          <w:rFonts w:cs="Tahoma"/>
          <w:sz w:val="22"/>
          <w:szCs w:val="22"/>
        </w:rPr>
        <w:t>Poorest regions might have a lower</w:t>
      </w:r>
      <w:r>
        <w:rPr>
          <w:rFonts w:cs="Tahoma"/>
          <w:sz w:val="22"/>
          <w:szCs w:val="22"/>
        </w:rPr>
        <w:t xml:space="preserve"> capacity of execution</w:t>
      </w:r>
      <w:r w:rsidRPr="00863203">
        <w:rPr>
          <w:rFonts w:cs="Tahoma"/>
          <w:sz w:val="22"/>
          <w:szCs w:val="22"/>
        </w:rPr>
        <w:t>. Also, the capacity of the regions to transfer their own incomes coming from mining or agricultural projects depends mostly on the development conception of the regional president and of its environment.</w:t>
      </w:r>
    </w:p>
    <w:p w:rsidR="00353ED4" w:rsidRPr="00C331C1" w:rsidRDefault="00353ED4" w:rsidP="008A745E">
      <w:pPr>
        <w:jc w:val="both"/>
        <w:rPr>
          <w:b/>
          <w:sz w:val="22"/>
          <w:szCs w:val="22"/>
        </w:rPr>
      </w:pPr>
      <w:r w:rsidRPr="00C331C1">
        <w:rPr>
          <w:b/>
          <w:sz w:val="22"/>
          <w:szCs w:val="22"/>
        </w:rPr>
        <w:t>Some general comments on the public health budget</w:t>
      </w:r>
      <w:r w:rsidRPr="00C331C1">
        <w:rPr>
          <w:rStyle w:val="Refdenotaalpie"/>
          <w:b/>
          <w:sz w:val="22"/>
          <w:szCs w:val="22"/>
        </w:rPr>
        <w:footnoteReference w:id="17"/>
      </w:r>
      <w:r w:rsidRPr="00C331C1">
        <w:rPr>
          <w:b/>
          <w:sz w:val="22"/>
          <w:szCs w:val="22"/>
        </w:rPr>
        <w:t>:</w:t>
      </w:r>
    </w:p>
    <w:p w:rsidR="00353ED4" w:rsidRPr="00C331C1" w:rsidRDefault="00353ED4" w:rsidP="002D58A1">
      <w:pPr>
        <w:numPr>
          <w:ilvl w:val="0"/>
          <w:numId w:val="22"/>
        </w:numPr>
        <w:tabs>
          <w:tab w:val="clear" w:pos="1080"/>
          <w:tab w:val="num" w:pos="110"/>
        </w:tabs>
        <w:spacing w:before="0"/>
        <w:ind w:left="0" w:firstLine="0"/>
        <w:jc w:val="both"/>
        <w:rPr>
          <w:rFonts w:cs="Tahoma"/>
          <w:sz w:val="22"/>
          <w:szCs w:val="22"/>
        </w:rPr>
      </w:pPr>
      <w:r w:rsidRPr="00C331C1">
        <w:rPr>
          <w:rFonts w:cs="Tahoma"/>
          <w:sz w:val="22"/>
          <w:szCs w:val="22"/>
        </w:rPr>
        <w:t xml:space="preserve">The financing of the public sector has been historically established by the MEF. In the last years, public health expenditure has maintained slightly above 1% and the total </w:t>
      </w:r>
      <w:r>
        <w:rPr>
          <w:rFonts w:cs="Tahoma"/>
          <w:sz w:val="22"/>
          <w:szCs w:val="22"/>
        </w:rPr>
        <w:t>GDP and</w:t>
      </w:r>
      <w:r w:rsidRPr="00C331C1">
        <w:rPr>
          <w:rFonts w:cs="Tahoma"/>
          <w:sz w:val="22"/>
          <w:szCs w:val="22"/>
        </w:rPr>
        <w:t xml:space="preserve"> around 5% of the government total expenditure. In the year 2004, 86% of health expenditure made by the MINSA was financed with resources from the Public Treasury, while 14% was financed with resources raised directly. In 2008, 12% of MINSA expenditures were financed by households.</w:t>
      </w:r>
    </w:p>
    <w:p w:rsidR="00353ED4" w:rsidRPr="00C331C1" w:rsidRDefault="00353ED4" w:rsidP="008937E1">
      <w:pPr>
        <w:numPr>
          <w:ilvl w:val="0"/>
          <w:numId w:val="22"/>
        </w:numPr>
        <w:tabs>
          <w:tab w:val="clear" w:pos="1080"/>
          <w:tab w:val="num" w:pos="110"/>
        </w:tabs>
        <w:spacing w:before="0"/>
        <w:ind w:left="0" w:firstLine="0"/>
        <w:jc w:val="both"/>
        <w:rPr>
          <w:rFonts w:cs="Tahoma"/>
          <w:sz w:val="22"/>
          <w:szCs w:val="22"/>
        </w:rPr>
      </w:pPr>
      <w:r w:rsidRPr="00C331C1">
        <w:rPr>
          <w:rFonts w:cs="Tahoma"/>
          <w:sz w:val="22"/>
          <w:szCs w:val="22"/>
        </w:rPr>
        <w:t>The organizational structure is not well related with the budget structure. The planning ends up bein</w:t>
      </w:r>
      <w:r>
        <w:rPr>
          <w:rFonts w:cs="Tahoma"/>
          <w:sz w:val="22"/>
          <w:szCs w:val="22"/>
        </w:rPr>
        <w:t>g adjusted to the budget`s logic</w:t>
      </w:r>
      <w:r w:rsidRPr="00C331C1">
        <w:rPr>
          <w:rFonts w:cs="Tahoma"/>
          <w:sz w:val="22"/>
          <w:szCs w:val="22"/>
        </w:rPr>
        <w:t>, meaning, by executing units</w:t>
      </w:r>
      <w:r w:rsidRPr="00C331C1">
        <w:rPr>
          <w:rStyle w:val="Refdenotaalpie"/>
          <w:rFonts w:cs="Tahoma"/>
          <w:sz w:val="22"/>
          <w:szCs w:val="22"/>
        </w:rPr>
        <w:footnoteReference w:id="18"/>
      </w:r>
      <w:r w:rsidRPr="00C331C1">
        <w:rPr>
          <w:rFonts w:cs="Tahoma"/>
          <w:sz w:val="22"/>
          <w:szCs w:val="22"/>
        </w:rPr>
        <w:t xml:space="preserve">, and not the other way </w:t>
      </w:r>
      <w:r>
        <w:rPr>
          <w:rFonts w:cs="Tahoma"/>
          <w:sz w:val="22"/>
          <w:szCs w:val="22"/>
        </w:rPr>
        <w:t>a</w:t>
      </w:r>
      <w:r w:rsidRPr="00C331C1">
        <w:rPr>
          <w:rFonts w:cs="Tahoma"/>
          <w:sz w:val="22"/>
          <w:szCs w:val="22"/>
        </w:rPr>
        <w:t>round. For example, a DISA has the same budget l</w:t>
      </w:r>
      <w:r>
        <w:rPr>
          <w:rFonts w:cs="Tahoma"/>
          <w:sz w:val="22"/>
          <w:szCs w:val="22"/>
        </w:rPr>
        <w:t>evel than a hospital, when the</w:t>
      </w:r>
      <w:r w:rsidRPr="00C331C1">
        <w:rPr>
          <w:rFonts w:cs="Tahoma"/>
          <w:sz w:val="22"/>
          <w:szCs w:val="22"/>
        </w:rPr>
        <w:t xml:space="preserve"> </w:t>
      </w:r>
      <w:r>
        <w:rPr>
          <w:rFonts w:cs="Tahoma"/>
          <w:sz w:val="22"/>
          <w:szCs w:val="22"/>
        </w:rPr>
        <w:t>second</w:t>
      </w:r>
      <w:r w:rsidRPr="00C331C1">
        <w:rPr>
          <w:rFonts w:cs="Tahoma"/>
          <w:sz w:val="22"/>
          <w:szCs w:val="22"/>
        </w:rPr>
        <w:t xml:space="preserve"> one depends on the DISA in terms of organization</w:t>
      </w:r>
      <w:r w:rsidRPr="00C331C1">
        <w:rPr>
          <w:rStyle w:val="Refdenotaalpie"/>
          <w:rFonts w:cs="Tahoma"/>
          <w:bCs/>
          <w:sz w:val="22"/>
          <w:szCs w:val="22"/>
        </w:rPr>
        <w:footnoteReference w:id="19"/>
      </w:r>
      <w:r w:rsidRPr="00C331C1">
        <w:rPr>
          <w:rFonts w:cs="Tahoma"/>
          <w:sz w:val="22"/>
          <w:szCs w:val="22"/>
        </w:rPr>
        <w:t xml:space="preserve">. It also makes </w:t>
      </w:r>
      <w:r>
        <w:rPr>
          <w:rFonts w:cs="Tahoma"/>
          <w:sz w:val="22"/>
          <w:szCs w:val="22"/>
        </w:rPr>
        <w:t xml:space="preserve">it </w:t>
      </w:r>
      <w:r w:rsidRPr="00C331C1">
        <w:rPr>
          <w:rFonts w:cs="Tahoma"/>
          <w:sz w:val="22"/>
          <w:szCs w:val="22"/>
        </w:rPr>
        <w:t>difficult to track the health expenditures in regional governments because the executing units are the Regional Government’s Head Office and the Regional Government’s Health Office; both of them assign</w:t>
      </w:r>
      <w:r>
        <w:rPr>
          <w:rFonts w:cs="Tahoma"/>
          <w:sz w:val="22"/>
          <w:szCs w:val="22"/>
        </w:rPr>
        <w:t xml:space="preserve"> a</w:t>
      </w:r>
      <w:r w:rsidRPr="00C331C1">
        <w:rPr>
          <w:rFonts w:cs="Tahoma"/>
          <w:sz w:val="22"/>
          <w:szCs w:val="22"/>
        </w:rPr>
        <w:t xml:space="preserve"> budget to DIRESAs and hospitals. In the end, it could be that the resources don’t make it to the health establishments, or dilutes in the way.</w:t>
      </w:r>
    </w:p>
    <w:p w:rsidR="00353ED4" w:rsidRPr="00C331C1" w:rsidRDefault="00353ED4" w:rsidP="002D58A1">
      <w:pPr>
        <w:numPr>
          <w:ilvl w:val="0"/>
          <w:numId w:val="22"/>
        </w:numPr>
        <w:tabs>
          <w:tab w:val="clear" w:pos="1080"/>
          <w:tab w:val="num" w:pos="110"/>
        </w:tabs>
        <w:spacing w:before="0"/>
        <w:ind w:left="0" w:firstLine="0"/>
        <w:jc w:val="both"/>
        <w:rPr>
          <w:rStyle w:val="apple-style-span"/>
          <w:rFonts w:cs="Tahoma"/>
          <w:sz w:val="22"/>
          <w:szCs w:val="22"/>
        </w:rPr>
      </w:pPr>
      <w:r w:rsidRPr="00C331C1">
        <w:rPr>
          <w:rFonts w:cs="Tahoma"/>
          <w:sz w:val="22"/>
          <w:szCs w:val="22"/>
        </w:rPr>
        <w:t xml:space="preserve">MINSA can’t identify the expenditure made in specific items that allow the estimation of the performance of basic functions of production. The management of the </w:t>
      </w:r>
      <w:r w:rsidRPr="00C331C1">
        <w:rPr>
          <w:rStyle w:val="apple-style-span"/>
          <w:rFonts w:cs="Tahoma"/>
          <w:sz w:val="22"/>
          <w:szCs w:val="22"/>
        </w:rPr>
        <w:t>Integrated and Financial Administration System (SIAF) allows getting information up to the level of activity or project, which is not always detailed and doesn’t show clearly in what</w:t>
      </w:r>
      <w:r>
        <w:rPr>
          <w:rStyle w:val="apple-style-span"/>
          <w:rFonts w:cs="Tahoma"/>
          <w:sz w:val="22"/>
          <w:szCs w:val="22"/>
        </w:rPr>
        <w:t xml:space="preserve"> was</w:t>
      </w:r>
      <w:r w:rsidRPr="00C331C1">
        <w:rPr>
          <w:rStyle w:val="apple-style-span"/>
          <w:rFonts w:cs="Tahoma"/>
          <w:sz w:val="22"/>
          <w:szCs w:val="22"/>
        </w:rPr>
        <w:t xml:space="preserve"> the spend made. One problem that is detected is that the items</w:t>
      </w:r>
      <w:r>
        <w:rPr>
          <w:rStyle w:val="apple-style-span"/>
          <w:rFonts w:cs="Tahoma"/>
          <w:sz w:val="22"/>
          <w:szCs w:val="22"/>
        </w:rPr>
        <w:t xml:space="preserve"> in the SIAF, in spite they are supposed</w:t>
      </w:r>
      <w:r w:rsidRPr="00C331C1">
        <w:rPr>
          <w:rStyle w:val="apple-style-span"/>
          <w:rFonts w:cs="Tahoma"/>
          <w:sz w:val="22"/>
          <w:szCs w:val="22"/>
        </w:rPr>
        <w:t xml:space="preserve"> to be standardized, </w:t>
      </w:r>
      <w:r>
        <w:rPr>
          <w:rStyle w:val="apple-style-span"/>
          <w:rFonts w:cs="Tahoma"/>
          <w:sz w:val="22"/>
          <w:szCs w:val="22"/>
        </w:rPr>
        <w:t>are mostly</w:t>
      </w:r>
      <w:r w:rsidRPr="00C331C1">
        <w:rPr>
          <w:rStyle w:val="apple-style-span"/>
          <w:rFonts w:cs="Tahoma"/>
          <w:sz w:val="22"/>
          <w:szCs w:val="22"/>
        </w:rPr>
        <w:t xml:space="preserve"> </w:t>
      </w:r>
      <w:r>
        <w:rPr>
          <w:rStyle w:val="apple-style-span"/>
          <w:rFonts w:cs="Tahoma"/>
          <w:sz w:val="22"/>
          <w:szCs w:val="22"/>
        </w:rPr>
        <w:t>discretionary, especially for</w:t>
      </w:r>
      <w:r w:rsidRPr="00C331C1">
        <w:rPr>
          <w:rStyle w:val="apple-style-span"/>
          <w:rFonts w:cs="Tahoma"/>
          <w:sz w:val="22"/>
          <w:szCs w:val="22"/>
        </w:rPr>
        <w:t xml:space="preserve"> the Regional Governments.</w:t>
      </w:r>
    </w:p>
    <w:p w:rsidR="00353ED4" w:rsidRDefault="00353ED4" w:rsidP="002D58A1">
      <w:pPr>
        <w:numPr>
          <w:ilvl w:val="0"/>
          <w:numId w:val="22"/>
        </w:numPr>
        <w:tabs>
          <w:tab w:val="clear" w:pos="1080"/>
          <w:tab w:val="num" w:pos="110"/>
        </w:tabs>
        <w:spacing w:before="0"/>
        <w:ind w:left="0" w:firstLine="0"/>
        <w:jc w:val="both"/>
        <w:rPr>
          <w:sz w:val="22"/>
          <w:szCs w:val="22"/>
        </w:rPr>
      </w:pPr>
      <w:r w:rsidRPr="002D58A1">
        <w:rPr>
          <w:rStyle w:val="apple-style-span"/>
          <w:rFonts w:cs="Tahoma"/>
          <w:sz w:val="22"/>
          <w:szCs w:val="22"/>
        </w:rPr>
        <w:t>E</w:t>
      </w:r>
      <w:r w:rsidRPr="002D58A1">
        <w:rPr>
          <w:sz w:val="22"/>
          <w:szCs w:val="22"/>
        </w:rPr>
        <w:t>ven though the human resource is one of the strategic resources for health assistance, their performance relies on the availability and quality of other inputs (mainly medicine and medical inputs) and the infrastructure. Given the union movements and some inflexibility in the growth of public health expenditure, the budget allocation has changed its composition, increasing the human resource participation</w:t>
      </w:r>
      <w:r>
        <w:rPr>
          <w:sz w:val="22"/>
          <w:szCs w:val="22"/>
        </w:rPr>
        <w:t>,</w:t>
      </w:r>
      <w:r w:rsidRPr="002D58A1">
        <w:rPr>
          <w:sz w:val="22"/>
          <w:szCs w:val="22"/>
        </w:rPr>
        <w:t xml:space="preserve"> gathering 60% of the total health expenditure in the regions. I</w:t>
      </w:r>
      <w:r>
        <w:rPr>
          <w:sz w:val="22"/>
          <w:szCs w:val="22"/>
        </w:rPr>
        <w:t>t i</w:t>
      </w:r>
      <w:r w:rsidRPr="002D58A1">
        <w:rPr>
          <w:sz w:val="22"/>
          <w:szCs w:val="22"/>
        </w:rPr>
        <w:t xml:space="preserve">s </w:t>
      </w:r>
      <w:r>
        <w:rPr>
          <w:sz w:val="22"/>
          <w:szCs w:val="22"/>
        </w:rPr>
        <w:t xml:space="preserve">also </w:t>
      </w:r>
      <w:r w:rsidRPr="002D58A1">
        <w:rPr>
          <w:sz w:val="22"/>
          <w:szCs w:val="22"/>
        </w:rPr>
        <w:t>important to point out that the regulation for the public sector does not leave margin</w:t>
      </w:r>
      <w:r w:rsidRPr="00C331C1">
        <w:rPr>
          <w:sz w:val="22"/>
          <w:szCs w:val="22"/>
        </w:rPr>
        <w:t xml:space="preserve"> to a good management of human resources. The DL 276 does not allow, for example, to transfer labor without consent of the worker, does not allow to reduce work positions in one place to increase  i</w:t>
      </w:r>
      <w:r>
        <w:rPr>
          <w:sz w:val="22"/>
          <w:szCs w:val="22"/>
        </w:rPr>
        <w:t>t i</w:t>
      </w:r>
      <w:r w:rsidRPr="00C331C1">
        <w:rPr>
          <w:sz w:val="22"/>
          <w:szCs w:val="22"/>
        </w:rPr>
        <w:t>n another,</w:t>
      </w:r>
      <w:r>
        <w:rPr>
          <w:sz w:val="22"/>
          <w:szCs w:val="22"/>
        </w:rPr>
        <w:t xml:space="preserve"> and</w:t>
      </w:r>
      <w:r w:rsidRPr="00C331C1">
        <w:rPr>
          <w:sz w:val="22"/>
          <w:szCs w:val="22"/>
        </w:rPr>
        <w:t xml:space="preserve"> the process to penalize bad practices are extremely complicated. That is why a Development Plan in Human Resources is required, in order to establish what type of specialist are required and where</w:t>
      </w:r>
      <w:r>
        <w:rPr>
          <w:sz w:val="22"/>
          <w:szCs w:val="22"/>
        </w:rPr>
        <w:t xml:space="preserve">. </w:t>
      </w:r>
    </w:p>
    <w:p w:rsidR="00353ED4" w:rsidRPr="00C331C1" w:rsidRDefault="00353ED4" w:rsidP="002D58A1">
      <w:pPr>
        <w:spacing w:before="0"/>
        <w:jc w:val="both"/>
        <w:rPr>
          <w:sz w:val="22"/>
          <w:szCs w:val="22"/>
        </w:rPr>
      </w:pPr>
      <w:r>
        <w:rPr>
          <w:bCs/>
          <w:sz w:val="22"/>
          <w:szCs w:val="22"/>
        </w:rPr>
        <w:t xml:space="preserve">Table 23 </w:t>
      </w:r>
      <w:r w:rsidRPr="00C331C1">
        <w:rPr>
          <w:bCs/>
          <w:sz w:val="22"/>
          <w:szCs w:val="22"/>
        </w:rPr>
        <w:t xml:space="preserve">present Health Expenditures divided in Recurrent and Capital expenditures. </w:t>
      </w:r>
      <w:r w:rsidRPr="00C331C1">
        <w:rPr>
          <w:sz w:val="22"/>
          <w:szCs w:val="22"/>
        </w:rPr>
        <w:t xml:space="preserve">For recurrent expenditures, we divide the resources to finance wages and to finance non wages (mostly goods). For capital expenditures, we consider: </w:t>
      </w:r>
    </w:p>
    <w:p w:rsidR="00353ED4" w:rsidRPr="00C331C1" w:rsidRDefault="00353ED4" w:rsidP="007A13AB">
      <w:pPr>
        <w:numPr>
          <w:ilvl w:val="0"/>
          <w:numId w:val="13"/>
        </w:numPr>
        <w:jc w:val="both"/>
        <w:rPr>
          <w:sz w:val="22"/>
          <w:szCs w:val="22"/>
        </w:rPr>
      </w:pPr>
      <w:r w:rsidRPr="00C331C1">
        <w:rPr>
          <w:sz w:val="22"/>
          <w:szCs w:val="22"/>
        </w:rPr>
        <w:t>Domestic: resources assigned from the Public Treasury.</w:t>
      </w:r>
    </w:p>
    <w:p w:rsidR="00353ED4" w:rsidRPr="00C331C1" w:rsidRDefault="00353ED4" w:rsidP="008937E1">
      <w:pPr>
        <w:numPr>
          <w:ilvl w:val="0"/>
          <w:numId w:val="11"/>
        </w:numPr>
        <w:spacing w:after="0"/>
        <w:ind w:left="714" w:hanging="357"/>
        <w:jc w:val="both"/>
        <w:rPr>
          <w:sz w:val="22"/>
          <w:szCs w:val="22"/>
        </w:rPr>
      </w:pPr>
      <w:r w:rsidRPr="00C331C1">
        <w:rPr>
          <w:sz w:val="22"/>
          <w:szCs w:val="22"/>
        </w:rPr>
        <w:t>DCR (Directly Collected Resources): household financing.</w:t>
      </w:r>
    </w:p>
    <w:p w:rsidR="00353ED4" w:rsidRPr="00C331C1" w:rsidRDefault="00353ED4" w:rsidP="008937E1">
      <w:pPr>
        <w:numPr>
          <w:ilvl w:val="0"/>
          <w:numId w:val="11"/>
        </w:numPr>
        <w:spacing w:after="0"/>
        <w:ind w:left="714" w:hanging="357"/>
        <w:jc w:val="both"/>
        <w:rPr>
          <w:sz w:val="22"/>
          <w:szCs w:val="22"/>
        </w:rPr>
      </w:pPr>
      <w:r w:rsidRPr="00C331C1">
        <w:rPr>
          <w:sz w:val="22"/>
          <w:szCs w:val="22"/>
        </w:rPr>
        <w:t>Loans: external and internal loans.</w:t>
      </w:r>
    </w:p>
    <w:p w:rsidR="00353ED4" w:rsidRPr="00C331C1" w:rsidRDefault="00353ED4" w:rsidP="002D58A1">
      <w:pPr>
        <w:numPr>
          <w:ilvl w:val="0"/>
          <w:numId w:val="11"/>
        </w:numPr>
        <w:spacing w:after="0"/>
        <w:ind w:left="714" w:hanging="357"/>
        <w:jc w:val="both"/>
        <w:rPr>
          <w:sz w:val="22"/>
          <w:szCs w:val="22"/>
        </w:rPr>
      </w:pPr>
      <w:r w:rsidRPr="00C331C1">
        <w:rPr>
          <w:sz w:val="22"/>
          <w:szCs w:val="22"/>
        </w:rPr>
        <w:t>Donor: international and national sources</w:t>
      </w:r>
      <w:r>
        <w:rPr>
          <w:sz w:val="22"/>
          <w:szCs w:val="22"/>
        </w:rPr>
        <w:t>. I</w:t>
      </w:r>
      <w:r w:rsidRPr="00C331C1">
        <w:rPr>
          <w:sz w:val="22"/>
          <w:szCs w:val="22"/>
        </w:rPr>
        <w:t>t also includes transfers from one executing unit to another (don’t imply a consideration in return).</w:t>
      </w:r>
    </w:p>
    <w:p w:rsidR="00353ED4" w:rsidRPr="00C331C1" w:rsidRDefault="00353ED4" w:rsidP="008937E1">
      <w:pPr>
        <w:numPr>
          <w:ilvl w:val="0"/>
          <w:numId w:val="11"/>
        </w:numPr>
        <w:spacing w:after="0"/>
        <w:ind w:left="714" w:hanging="357"/>
        <w:jc w:val="both"/>
        <w:rPr>
          <w:sz w:val="22"/>
          <w:szCs w:val="22"/>
        </w:rPr>
      </w:pPr>
      <w:r w:rsidRPr="00C331C1">
        <w:rPr>
          <w:sz w:val="22"/>
          <w:szCs w:val="22"/>
        </w:rPr>
        <w:t>DR (Determined Resources): Mining Canon and special fees (i.e. from customs in harbor regions).</w:t>
      </w:r>
    </w:p>
    <w:p w:rsidR="00353ED4" w:rsidRPr="00815FA1" w:rsidRDefault="00353ED4" w:rsidP="002D58A1">
      <w:pPr>
        <w:pStyle w:val="Epgrafe"/>
        <w:jc w:val="center"/>
        <w:rPr>
          <w:color w:val="auto"/>
          <w:sz w:val="22"/>
        </w:rPr>
      </w:pPr>
      <w:bookmarkStart w:id="56" w:name="_Ref246112658"/>
      <w:bookmarkStart w:id="57" w:name="_Ref246115119"/>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23</w:t>
      </w:r>
      <w:r w:rsidRPr="00815FA1">
        <w:rPr>
          <w:color w:val="auto"/>
          <w:sz w:val="22"/>
        </w:rPr>
        <w:fldChar w:fldCharType="end"/>
      </w:r>
      <w:bookmarkEnd w:id="56"/>
      <w:bookmarkEnd w:id="57"/>
      <w:r w:rsidRPr="00815FA1">
        <w:rPr>
          <w:color w:val="auto"/>
          <w:sz w:val="22"/>
        </w:rPr>
        <w:t xml:space="preserve">: Recurrent and </w:t>
      </w:r>
      <w:r>
        <w:rPr>
          <w:color w:val="auto"/>
          <w:sz w:val="22"/>
        </w:rPr>
        <w:t>c</w:t>
      </w:r>
      <w:r w:rsidRPr="00815FA1">
        <w:rPr>
          <w:color w:val="auto"/>
          <w:sz w:val="22"/>
        </w:rPr>
        <w:t xml:space="preserve">apital </w:t>
      </w:r>
      <w:r>
        <w:rPr>
          <w:color w:val="auto"/>
          <w:sz w:val="22"/>
        </w:rPr>
        <w:t>s</w:t>
      </w:r>
      <w:r w:rsidRPr="00815FA1">
        <w:rPr>
          <w:color w:val="auto"/>
          <w:sz w:val="22"/>
        </w:rPr>
        <w:t>pending, amount in real Nuevos Soles (2006=100): Health</w:t>
      </w:r>
    </w:p>
    <w:tbl>
      <w:tblPr>
        <w:tblW w:w="9412" w:type="dxa"/>
        <w:jc w:val="center"/>
        <w:tblCellMar>
          <w:left w:w="70" w:type="dxa"/>
          <w:right w:w="70" w:type="dxa"/>
        </w:tblCellMar>
        <w:tblLook w:val="00A0" w:firstRow="1" w:lastRow="0" w:firstColumn="1" w:lastColumn="0" w:noHBand="0" w:noVBand="0"/>
      </w:tblPr>
      <w:tblGrid>
        <w:gridCol w:w="1482"/>
        <w:gridCol w:w="1367"/>
        <w:gridCol w:w="613"/>
        <w:gridCol w:w="1367"/>
        <w:gridCol w:w="623"/>
        <w:gridCol w:w="1367"/>
        <w:gridCol w:w="613"/>
        <w:gridCol w:w="1367"/>
        <w:gridCol w:w="613"/>
      </w:tblGrid>
      <w:tr w:rsidR="00353ED4" w:rsidRPr="00815FA1">
        <w:trPr>
          <w:trHeight w:val="1297"/>
          <w:jc w:val="center"/>
        </w:trPr>
        <w:tc>
          <w:tcPr>
            <w:tcW w:w="1482" w:type="dxa"/>
            <w:tcBorders>
              <w:top w:val="single" w:sz="8" w:space="0" w:color="auto"/>
              <w:left w:val="single" w:sz="8" w:space="0" w:color="auto"/>
              <w:bottom w:val="nil"/>
              <w:right w:val="single" w:sz="8" w:space="0" w:color="auto"/>
            </w:tcBorders>
            <w:shd w:val="clear" w:color="000000" w:fill="297083"/>
            <w:noWrap/>
            <w:vAlign w:val="bottom"/>
          </w:tcPr>
          <w:p w:rsidR="00353ED4" w:rsidRPr="00815FA1" w:rsidRDefault="00353ED4" w:rsidP="00DE45FE">
            <w:pPr>
              <w:spacing w:after="0" w:line="240" w:lineRule="auto"/>
              <w:rPr>
                <w:rFonts w:eastAsia="Times New Roman"/>
                <w:b/>
                <w:bCs/>
                <w:color w:val="000000"/>
                <w:sz w:val="21"/>
                <w:szCs w:val="21"/>
                <w:lang w:eastAsia="zh-CN"/>
              </w:rPr>
            </w:pPr>
            <w:r w:rsidRPr="00815FA1">
              <w:rPr>
                <w:rFonts w:eastAsia="Times New Roman"/>
                <w:b/>
                <w:bCs/>
                <w:color w:val="000000"/>
                <w:sz w:val="21"/>
                <w:lang w:eastAsia="zh-CN"/>
              </w:rPr>
              <w:t>HEALTH</w:t>
            </w:r>
          </w:p>
        </w:tc>
        <w:tc>
          <w:tcPr>
            <w:tcW w:w="1367"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2006 (Amount)</w:t>
            </w:r>
          </w:p>
        </w:tc>
        <w:tc>
          <w:tcPr>
            <w:tcW w:w="613"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2006 (%)</w:t>
            </w:r>
          </w:p>
        </w:tc>
        <w:tc>
          <w:tcPr>
            <w:tcW w:w="1367"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2007 (Amount)</w:t>
            </w:r>
          </w:p>
        </w:tc>
        <w:tc>
          <w:tcPr>
            <w:tcW w:w="623"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2007 (%)</w:t>
            </w:r>
          </w:p>
        </w:tc>
        <w:tc>
          <w:tcPr>
            <w:tcW w:w="1367"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2008 (Amount)</w:t>
            </w:r>
          </w:p>
        </w:tc>
        <w:tc>
          <w:tcPr>
            <w:tcW w:w="613"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2008 (%)</w:t>
            </w:r>
          </w:p>
        </w:tc>
        <w:tc>
          <w:tcPr>
            <w:tcW w:w="1367"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2009 (Budgeted Amount)</w:t>
            </w:r>
          </w:p>
        </w:tc>
        <w:tc>
          <w:tcPr>
            <w:tcW w:w="613" w:type="dxa"/>
            <w:tcBorders>
              <w:top w:val="single" w:sz="8" w:space="0" w:color="auto"/>
              <w:left w:val="nil"/>
              <w:bottom w:val="single" w:sz="8" w:space="0" w:color="auto"/>
              <w:right w:val="single" w:sz="8" w:space="0" w:color="auto"/>
            </w:tcBorders>
            <w:shd w:val="clear" w:color="000000" w:fill="297083"/>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2009 (%)</w:t>
            </w:r>
          </w:p>
        </w:tc>
      </w:tr>
      <w:tr w:rsidR="00353ED4" w:rsidRPr="00815FA1">
        <w:trPr>
          <w:trHeight w:val="354"/>
          <w:jc w:val="center"/>
        </w:trPr>
        <w:tc>
          <w:tcPr>
            <w:tcW w:w="1482" w:type="dxa"/>
            <w:tcBorders>
              <w:top w:val="single" w:sz="8" w:space="0" w:color="auto"/>
              <w:left w:val="single" w:sz="8" w:space="0" w:color="auto"/>
              <w:bottom w:val="nil"/>
              <w:right w:val="single" w:sz="8" w:space="0" w:color="auto"/>
            </w:tcBorders>
            <w:shd w:val="clear" w:color="000000" w:fill="297083"/>
            <w:noWrap/>
            <w:vAlign w:val="bottom"/>
          </w:tcPr>
          <w:p w:rsidR="00353ED4" w:rsidRPr="00815FA1" w:rsidRDefault="00353ED4" w:rsidP="00DE45FE">
            <w:pPr>
              <w:spacing w:after="0" w:line="240" w:lineRule="auto"/>
              <w:rPr>
                <w:rFonts w:eastAsia="Times New Roman"/>
                <w:b/>
                <w:bCs/>
                <w:color w:val="000000"/>
                <w:sz w:val="21"/>
                <w:szCs w:val="21"/>
                <w:lang w:eastAsia="zh-CN"/>
              </w:rPr>
            </w:pPr>
            <w:r w:rsidRPr="00815FA1">
              <w:rPr>
                <w:rFonts w:eastAsia="Times New Roman"/>
                <w:b/>
                <w:bCs/>
                <w:color w:val="000000"/>
                <w:sz w:val="21"/>
                <w:lang w:eastAsia="zh-CN"/>
              </w:rPr>
              <w:t>TOTAL</w:t>
            </w:r>
          </w:p>
        </w:tc>
        <w:tc>
          <w:tcPr>
            <w:tcW w:w="1367"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right"/>
              <w:rPr>
                <w:rFonts w:eastAsia="Times New Roman"/>
                <w:b/>
                <w:bCs/>
                <w:color w:val="000000"/>
                <w:sz w:val="21"/>
                <w:szCs w:val="21"/>
                <w:lang w:eastAsia="zh-CN"/>
              </w:rPr>
            </w:pPr>
            <w:r w:rsidRPr="00815FA1">
              <w:rPr>
                <w:rFonts w:eastAsia="Times New Roman"/>
                <w:b/>
                <w:bCs/>
                <w:color w:val="000000"/>
                <w:sz w:val="21"/>
                <w:lang w:eastAsia="zh-CN"/>
              </w:rPr>
              <w:t>3,977,774,324</w:t>
            </w:r>
          </w:p>
        </w:tc>
        <w:tc>
          <w:tcPr>
            <w:tcW w:w="613"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100%</w:t>
            </w:r>
          </w:p>
        </w:tc>
        <w:tc>
          <w:tcPr>
            <w:tcW w:w="1367"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right"/>
              <w:rPr>
                <w:rFonts w:eastAsia="Times New Roman"/>
                <w:b/>
                <w:bCs/>
                <w:color w:val="000000"/>
                <w:sz w:val="21"/>
                <w:szCs w:val="21"/>
                <w:lang w:eastAsia="zh-CN"/>
              </w:rPr>
            </w:pPr>
            <w:r w:rsidRPr="00815FA1">
              <w:rPr>
                <w:rFonts w:eastAsia="Times New Roman"/>
                <w:b/>
                <w:bCs/>
                <w:color w:val="000000"/>
                <w:sz w:val="21"/>
                <w:lang w:eastAsia="zh-CN"/>
              </w:rPr>
              <w:t>4,266,627,328</w:t>
            </w:r>
          </w:p>
        </w:tc>
        <w:tc>
          <w:tcPr>
            <w:tcW w:w="623"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100%</w:t>
            </w:r>
          </w:p>
        </w:tc>
        <w:tc>
          <w:tcPr>
            <w:tcW w:w="1367"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right"/>
              <w:rPr>
                <w:rFonts w:eastAsia="Times New Roman"/>
                <w:b/>
                <w:bCs/>
                <w:color w:val="000000"/>
                <w:sz w:val="21"/>
                <w:szCs w:val="21"/>
                <w:lang w:eastAsia="zh-CN"/>
              </w:rPr>
            </w:pPr>
            <w:r w:rsidRPr="00815FA1">
              <w:rPr>
                <w:rFonts w:eastAsia="Times New Roman"/>
                <w:b/>
                <w:bCs/>
                <w:color w:val="000000"/>
                <w:sz w:val="21"/>
                <w:lang w:eastAsia="zh-CN"/>
              </w:rPr>
              <w:t>3,846,609,377</w:t>
            </w:r>
          </w:p>
        </w:tc>
        <w:tc>
          <w:tcPr>
            <w:tcW w:w="613"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100%</w:t>
            </w:r>
          </w:p>
        </w:tc>
        <w:tc>
          <w:tcPr>
            <w:tcW w:w="1367"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right"/>
              <w:rPr>
                <w:rFonts w:eastAsia="Times New Roman"/>
                <w:b/>
                <w:bCs/>
                <w:color w:val="000000"/>
                <w:sz w:val="21"/>
                <w:szCs w:val="21"/>
                <w:lang w:eastAsia="zh-CN"/>
              </w:rPr>
            </w:pPr>
            <w:r w:rsidRPr="00815FA1">
              <w:rPr>
                <w:rFonts w:eastAsia="Times New Roman"/>
                <w:b/>
                <w:bCs/>
                <w:color w:val="000000"/>
                <w:sz w:val="21"/>
                <w:lang w:eastAsia="zh-CN"/>
              </w:rPr>
              <w:t>4,515,021,912</w:t>
            </w:r>
          </w:p>
        </w:tc>
        <w:tc>
          <w:tcPr>
            <w:tcW w:w="613" w:type="dxa"/>
            <w:tcBorders>
              <w:top w:val="nil"/>
              <w:left w:val="nil"/>
              <w:bottom w:val="nil"/>
              <w:right w:val="single" w:sz="8" w:space="0" w:color="auto"/>
            </w:tcBorders>
            <w:shd w:val="clear" w:color="000000" w:fill="297083"/>
            <w:noWrap/>
            <w:vAlign w:val="bottom"/>
          </w:tcPr>
          <w:p w:rsidR="00353ED4" w:rsidRPr="00815FA1" w:rsidRDefault="00353ED4" w:rsidP="00DE45FE">
            <w:pPr>
              <w:spacing w:after="0" w:line="240" w:lineRule="auto"/>
              <w:jc w:val="center"/>
              <w:rPr>
                <w:rFonts w:eastAsia="Times New Roman"/>
                <w:b/>
                <w:bCs/>
                <w:color w:val="000000"/>
                <w:sz w:val="21"/>
                <w:szCs w:val="21"/>
                <w:lang w:eastAsia="zh-CN"/>
              </w:rPr>
            </w:pPr>
            <w:r w:rsidRPr="00815FA1">
              <w:rPr>
                <w:rFonts w:eastAsia="Times New Roman"/>
                <w:b/>
                <w:bCs/>
                <w:color w:val="000000"/>
                <w:sz w:val="21"/>
                <w:lang w:eastAsia="zh-CN"/>
              </w:rPr>
              <w:t>100%</w:t>
            </w:r>
          </w:p>
        </w:tc>
      </w:tr>
      <w:tr w:rsidR="00353ED4" w:rsidRPr="00815FA1">
        <w:trPr>
          <w:trHeight w:val="337"/>
          <w:jc w:val="center"/>
        </w:trPr>
        <w:tc>
          <w:tcPr>
            <w:tcW w:w="1482" w:type="dxa"/>
            <w:tcBorders>
              <w:top w:val="single" w:sz="8" w:space="0" w:color="auto"/>
              <w:left w:val="single" w:sz="8" w:space="0" w:color="auto"/>
              <w:bottom w:val="nil"/>
              <w:right w:val="single" w:sz="8" w:space="0" w:color="auto"/>
            </w:tcBorders>
            <w:noWrap/>
            <w:vAlign w:val="bottom"/>
          </w:tcPr>
          <w:p w:rsidR="00353ED4" w:rsidRPr="00815FA1" w:rsidRDefault="00353ED4" w:rsidP="00DE45FE">
            <w:pPr>
              <w:spacing w:after="0" w:line="240" w:lineRule="auto"/>
              <w:rPr>
                <w:rFonts w:eastAsia="Times New Roman"/>
                <w:b/>
                <w:bCs/>
                <w:i/>
                <w:iCs/>
                <w:color w:val="000000"/>
                <w:sz w:val="21"/>
                <w:szCs w:val="21"/>
                <w:lang w:eastAsia="zh-CN"/>
              </w:rPr>
            </w:pPr>
            <w:r w:rsidRPr="00815FA1">
              <w:rPr>
                <w:rFonts w:eastAsia="Times New Roman"/>
                <w:b/>
                <w:bCs/>
                <w:i/>
                <w:iCs/>
                <w:color w:val="000000"/>
                <w:sz w:val="21"/>
                <w:lang w:eastAsia="zh-CN"/>
              </w:rPr>
              <w:t>Recurrent</w:t>
            </w:r>
          </w:p>
        </w:tc>
        <w:tc>
          <w:tcPr>
            <w:tcW w:w="1367"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3,698,635,537</w:t>
            </w:r>
          </w:p>
        </w:tc>
        <w:tc>
          <w:tcPr>
            <w:tcW w:w="613"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93%</w:t>
            </w:r>
          </w:p>
        </w:tc>
        <w:tc>
          <w:tcPr>
            <w:tcW w:w="1367"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3,806,228,133</w:t>
            </w:r>
          </w:p>
        </w:tc>
        <w:tc>
          <w:tcPr>
            <w:tcW w:w="623"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89%</w:t>
            </w:r>
          </w:p>
        </w:tc>
        <w:tc>
          <w:tcPr>
            <w:tcW w:w="1367"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3,389,235,895</w:t>
            </w:r>
          </w:p>
        </w:tc>
        <w:tc>
          <w:tcPr>
            <w:tcW w:w="613"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88%</w:t>
            </w:r>
          </w:p>
        </w:tc>
        <w:tc>
          <w:tcPr>
            <w:tcW w:w="1367"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3,949,869,897</w:t>
            </w:r>
          </w:p>
        </w:tc>
        <w:tc>
          <w:tcPr>
            <w:tcW w:w="613" w:type="dxa"/>
            <w:tcBorders>
              <w:top w:val="single" w:sz="8" w:space="0" w:color="auto"/>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87%</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Wages</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2,296,545,402</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62%</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2,287,630,068</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60%</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2,057,727,952</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61%</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2,275,599,026</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58%</w:t>
            </w:r>
          </w:p>
        </w:tc>
      </w:tr>
      <w:tr w:rsidR="00353ED4" w:rsidRPr="00815FA1">
        <w:trPr>
          <w:trHeight w:val="354"/>
          <w:jc w:val="center"/>
        </w:trPr>
        <w:tc>
          <w:tcPr>
            <w:tcW w:w="1482"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Non-Wages</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1,402,090,135</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38%</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1,518,598,064</w:t>
            </w:r>
          </w:p>
        </w:tc>
        <w:tc>
          <w:tcPr>
            <w:tcW w:w="62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40%</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1,331,507,942</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39%</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1,674,270,871</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42%</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DE45FE">
            <w:pPr>
              <w:spacing w:after="0" w:line="240" w:lineRule="auto"/>
              <w:rPr>
                <w:rFonts w:eastAsia="Times New Roman"/>
                <w:b/>
                <w:bCs/>
                <w:i/>
                <w:iCs/>
                <w:color w:val="000000"/>
                <w:sz w:val="21"/>
                <w:szCs w:val="21"/>
                <w:lang w:eastAsia="zh-CN"/>
              </w:rPr>
            </w:pPr>
            <w:r w:rsidRPr="00815FA1">
              <w:rPr>
                <w:rFonts w:eastAsia="Times New Roman"/>
                <w:b/>
                <w:bCs/>
                <w:i/>
                <w:iCs/>
                <w:color w:val="000000"/>
                <w:sz w:val="21"/>
                <w:lang w:eastAsia="zh-CN"/>
              </w:rPr>
              <w:t>Capital</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279,138,787</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7%</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460,399,195</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11%</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457,373,482</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12%</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565,152,015</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b/>
                <w:bCs/>
                <w:i/>
                <w:iCs/>
                <w:color w:val="000000"/>
                <w:sz w:val="21"/>
                <w:szCs w:val="21"/>
                <w:lang w:eastAsia="zh-CN"/>
              </w:rPr>
            </w:pPr>
            <w:r w:rsidRPr="00815FA1">
              <w:rPr>
                <w:rFonts w:eastAsia="Times New Roman"/>
                <w:b/>
                <w:bCs/>
                <w:i/>
                <w:iCs/>
                <w:color w:val="000000"/>
                <w:sz w:val="21"/>
                <w:lang w:eastAsia="zh-CN"/>
              </w:rPr>
              <w:t>13%</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Domestic</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113,077,926</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41%</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363,454,732</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79%</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294,614,100</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64%</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413,938,378</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73%</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DCR</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41,068,016</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15%</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23,565,043</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5%</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17,728,878</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4%</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58,620,827</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10%</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Loans</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31,009,337</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11%</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3,841,166</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0</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0%</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0</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0%</w:t>
            </w:r>
          </w:p>
        </w:tc>
      </w:tr>
      <w:tr w:rsidR="00353ED4" w:rsidRPr="00815FA1">
        <w:trPr>
          <w:trHeight w:val="337"/>
          <w:jc w:val="center"/>
        </w:trPr>
        <w:tc>
          <w:tcPr>
            <w:tcW w:w="1482"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Donor</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36,669,909</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13%</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34,275,648</w:t>
            </w:r>
          </w:p>
        </w:tc>
        <w:tc>
          <w:tcPr>
            <w:tcW w:w="62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7%</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41,724,450</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9%</w:t>
            </w:r>
          </w:p>
        </w:tc>
        <w:tc>
          <w:tcPr>
            <w:tcW w:w="1367" w:type="dxa"/>
            <w:tcBorders>
              <w:top w:val="nil"/>
              <w:left w:val="nil"/>
              <w:bottom w:val="nil"/>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0</w:t>
            </w:r>
          </w:p>
        </w:tc>
        <w:tc>
          <w:tcPr>
            <w:tcW w:w="613" w:type="dxa"/>
            <w:tcBorders>
              <w:top w:val="nil"/>
              <w:left w:val="nil"/>
              <w:bottom w:val="nil"/>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0%</w:t>
            </w:r>
          </w:p>
        </w:tc>
      </w:tr>
      <w:tr w:rsidR="00353ED4" w:rsidRPr="00815FA1">
        <w:trPr>
          <w:trHeight w:val="354"/>
          <w:jc w:val="center"/>
        </w:trPr>
        <w:tc>
          <w:tcPr>
            <w:tcW w:w="1482"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after="0" w:line="240" w:lineRule="auto"/>
              <w:ind w:firstLineChars="100" w:firstLine="210"/>
              <w:rPr>
                <w:rFonts w:eastAsia="Times New Roman"/>
                <w:color w:val="000000"/>
                <w:sz w:val="21"/>
                <w:szCs w:val="21"/>
                <w:lang w:eastAsia="zh-CN"/>
              </w:rPr>
            </w:pPr>
            <w:r w:rsidRPr="00815FA1">
              <w:rPr>
                <w:rFonts w:eastAsia="Times New Roman"/>
                <w:color w:val="000000"/>
                <w:sz w:val="21"/>
                <w:lang w:eastAsia="zh-CN"/>
              </w:rPr>
              <w:t>DR</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57,313,599</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21%</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35,262,606</w:t>
            </w:r>
          </w:p>
        </w:tc>
        <w:tc>
          <w:tcPr>
            <w:tcW w:w="62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8%</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103,306,055</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23%</w:t>
            </w:r>
          </w:p>
        </w:tc>
        <w:tc>
          <w:tcPr>
            <w:tcW w:w="1367"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center"/>
              <w:rPr>
                <w:rFonts w:eastAsia="Times New Roman"/>
                <w:color w:val="000000"/>
                <w:sz w:val="21"/>
                <w:szCs w:val="21"/>
                <w:lang w:eastAsia="zh-CN"/>
              </w:rPr>
            </w:pPr>
            <w:r w:rsidRPr="00815FA1">
              <w:rPr>
                <w:rFonts w:eastAsia="Times New Roman"/>
                <w:color w:val="000000"/>
                <w:sz w:val="21"/>
                <w:lang w:eastAsia="zh-CN"/>
              </w:rPr>
              <w:t>92,592,810</w:t>
            </w:r>
          </w:p>
        </w:tc>
        <w:tc>
          <w:tcPr>
            <w:tcW w:w="613" w:type="dxa"/>
            <w:tcBorders>
              <w:top w:val="nil"/>
              <w:left w:val="nil"/>
              <w:bottom w:val="single" w:sz="8" w:space="0" w:color="auto"/>
              <w:right w:val="single" w:sz="8" w:space="0" w:color="auto"/>
            </w:tcBorders>
            <w:noWrap/>
            <w:vAlign w:val="bottom"/>
          </w:tcPr>
          <w:p w:rsidR="00353ED4" w:rsidRPr="00815FA1" w:rsidRDefault="00353ED4" w:rsidP="00DE45FE">
            <w:pPr>
              <w:spacing w:after="0" w:line="240" w:lineRule="auto"/>
              <w:jc w:val="right"/>
              <w:rPr>
                <w:rFonts w:eastAsia="Times New Roman"/>
                <w:color w:val="000000"/>
                <w:sz w:val="21"/>
                <w:szCs w:val="21"/>
                <w:lang w:eastAsia="zh-CN"/>
              </w:rPr>
            </w:pPr>
            <w:r w:rsidRPr="00815FA1">
              <w:rPr>
                <w:rFonts w:eastAsia="Times New Roman"/>
                <w:color w:val="000000"/>
                <w:sz w:val="21"/>
                <w:lang w:eastAsia="zh-CN"/>
              </w:rPr>
              <w:t>16%</w:t>
            </w:r>
          </w:p>
        </w:tc>
      </w:tr>
    </w:tbl>
    <w:p w:rsidR="00353ED4" w:rsidRPr="0026000B" w:rsidRDefault="00353ED4" w:rsidP="00B5075C">
      <w:pPr>
        <w:ind w:firstLine="708"/>
        <w:rPr>
          <w:sz w:val="22"/>
          <w:szCs w:val="22"/>
        </w:rPr>
      </w:pPr>
      <w:r w:rsidRPr="0026000B">
        <w:rPr>
          <w:sz w:val="22"/>
          <w:szCs w:val="22"/>
        </w:rPr>
        <w:t>Source: SIAF</w:t>
      </w:r>
    </w:p>
    <w:p w:rsidR="00353ED4" w:rsidRPr="0026000B" w:rsidRDefault="00353ED4" w:rsidP="00B57E77">
      <w:pPr>
        <w:pStyle w:val="Textoindependiente"/>
        <w:numPr>
          <w:ilvl w:val="0"/>
          <w:numId w:val="12"/>
        </w:numPr>
        <w:spacing w:before="0"/>
        <w:jc w:val="both"/>
        <w:rPr>
          <w:sz w:val="22"/>
          <w:szCs w:val="22"/>
        </w:rPr>
      </w:pPr>
      <w:r w:rsidRPr="0026000B">
        <w:rPr>
          <w:sz w:val="22"/>
          <w:szCs w:val="22"/>
        </w:rPr>
        <w:t>Health expenditure rose in 2007, but f</w:t>
      </w:r>
      <w:r>
        <w:rPr>
          <w:sz w:val="22"/>
          <w:szCs w:val="22"/>
        </w:rPr>
        <w:t xml:space="preserve">ell </w:t>
      </w:r>
      <w:r w:rsidRPr="0026000B">
        <w:rPr>
          <w:sz w:val="22"/>
          <w:szCs w:val="22"/>
        </w:rPr>
        <w:t>in 2008. The budget for 2009, however, shows a significant raise. Almost 90% of the resources concentrate in recurrent expenditures. Most of it finances wages (60%). The proportion seems to be slightly reducing through the years while investment and other capital expenses are increasing slowly in importance. However, given the little investment in infrastructure and equipment in the last decades, this raise seems insufficient. In fact, the infrastructure is old and insufficient (places for physic medical centers are not well preserve</w:t>
      </w:r>
      <w:r>
        <w:rPr>
          <w:sz w:val="22"/>
          <w:szCs w:val="22"/>
        </w:rPr>
        <w:t>d</w:t>
      </w:r>
      <w:r w:rsidRPr="0026000B">
        <w:rPr>
          <w:sz w:val="22"/>
          <w:szCs w:val="22"/>
        </w:rPr>
        <w:t xml:space="preserve">, the installations of water and drain networks are deficient, the </w:t>
      </w:r>
      <w:r>
        <w:rPr>
          <w:sz w:val="22"/>
          <w:szCs w:val="22"/>
        </w:rPr>
        <w:t>medical</w:t>
      </w:r>
      <w:r w:rsidRPr="0026000B">
        <w:rPr>
          <w:sz w:val="22"/>
          <w:szCs w:val="22"/>
        </w:rPr>
        <w:t xml:space="preserve"> residues don’t receive the right treatment, among others). At the same time, the equipment is old and insufficient (59% is operative, from which the 33% operates but requires to be replace and the 8% must be repaired). A National Plan of Investment and Maintenance is required for infrastructure and equipment, requiring a coordinated plan between the central government and the regions. Capital expenditure should tend to double in importance in the health budget.</w:t>
      </w:r>
    </w:p>
    <w:p w:rsidR="00353ED4" w:rsidRPr="0026000B" w:rsidRDefault="00353ED4" w:rsidP="00B57E77">
      <w:pPr>
        <w:rPr>
          <w:b/>
          <w:sz w:val="22"/>
          <w:szCs w:val="22"/>
        </w:rPr>
      </w:pPr>
      <w:r>
        <w:rPr>
          <w:sz w:val="22"/>
          <w:szCs w:val="22"/>
        </w:rPr>
        <w:t xml:space="preserve">Table 24 </w:t>
      </w:r>
      <w:r w:rsidRPr="0026000B">
        <w:rPr>
          <w:sz w:val="22"/>
          <w:szCs w:val="22"/>
        </w:rPr>
        <w:t>presents the expenditure organized by programs.</w:t>
      </w:r>
    </w:p>
    <w:p w:rsidR="00353ED4" w:rsidRPr="00815FA1" w:rsidRDefault="00353ED4" w:rsidP="00B57E77">
      <w:pPr>
        <w:pStyle w:val="Epgrafe"/>
        <w:jc w:val="center"/>
        <w:rPr>
          <w:color w:val="auto"/>
          <w:sz w:val="22"/>
        </w:rPr>
      </w:pPr>
      <w:bookmarkStart w:id="58" w:name="_Ref246115752"/>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24</w:t>
      </w:r>
      <w:r w:rsidRPr="00815FA1">
        <w:rPr>
          <w:color w:val="auto"/>
          <w:sz w:val="22"/>
        </w:rPr>
        <w:fldChar w:fldCharType="end"/>
      </w:r>
      <w:bookmarkEnd w:id="58"/>
      <w:r w:rsidRPr="00815FA1">
        <w:rPr>
          <w:color w:val="auto"/>
          <w:sz w:val="22"/>
        </w:rPr>
        <w:t xml:space="preserve">: Health </w:t>
      </w:r>
      <w:r>
        <w:rPr>
          <w:color w:val="auto"/>
          <w:sz w:val="22"/>
        </w:rPr>
        <w:t>e</w:t>
      </w:r>
      <w:r w:rsidRPr="00815FA1">
        <w:rPr>
          <w:color w:val="auto"/>
          <w:sz w:val="22"/>
        </w:rPr>
        <w:t>xpenditures by expenditure program, amount in real Nuevos Soles (2006=100)</w:t>
      </w:r>
    </w:p>
    <w:tbl>
      <w:tblPr>
        <w:tblW w:w="9905" w:type="dxa"/>
        <w:jc w:val="center"/>
        <w:tblCellMar>
          <w:left w:w="70" w:type="dxa"/>
          <w:right w:w="70" w:type="dxa"/>
        </w:tblCellMar>
        <w:tblLook w:val="00A0" w:firstRow="1" w:lastRow="0" w:firstColumn="1" w:lastColumn="0" w:noHBand="0" w:noVBand="0"/>
      </w:tblPr>
      <w:tblGrid>
        <w:gridCol w:w="1673"/>
        <w:gridCol w:w="1419"/>
        <w:gridCol w:w="639"/>
        <w:gridCol w:w="1419"/>
        <w:gridCol w:w="639"/>
        <w:gridCol w:w="1419"/>
        <w:gridCol w:w="639"/>
        <w:gridCol w:w="1419"/>
        <w:gridCol w:w="639"/>
      </w:tblGrid>
      <w:tr w:rsidR="00353ED4" w:rsidRPr="00815FA1">
        <w:trPr>
          <w:trHeight w:val="887"/>
          <w:jc w:val="center"/>
        </w:trPr>
        <w:tc>
          <w:tcPr>
            <w:tcW w:w="1673" w:type="dxa"/>
            <w:tcBorders>
              <w:top w:val="single" w:sz="8" w:space="0" w:color="auto"/>
              <w:left w:val="single" w:sz="8" w:space="0" w:color="auto"/>
              <w:bottom w:val="nil"/>
              <w:right w:val="single" w:sz="8" w:space="0" w:color="auto"/>
            </w:tcBorders>
            <w:shd w:val="clear" w:color="auto" w:fill="297083"/>
            <w:noWrap/>
            <w:vAlign w:val="center"/>
          </w:tcPr>
          <w:p w:rsidR="00353ED4" w:rsidRPr="00815FA1" w:rsidRDefault="00353ED4" w:rsidP="00B5075C">
            <w:pPr>
              <w:spacing w:after="0" w:line="240" w:lineRule="auto"/>
              <w:jc w:val="center"/>
              <w:rPr>
                <w:b/>
                <w:color w:val="000000"/>
                <w:sz w:val="21"/>
              </w:rPr>
            </w:pPr>
            <w:r w:rsidRPr="00815FA1">
              <w:rPr>
                <w:b/>
                <w:color w:val="000000"/>
                <w:sz w:val="21"/>
              </w:rPr>
              <w:t>HEALTH</w:t>
            </w:r>
          </w:p>
        </w:tc>
        <w:tc>
          <w:tcPr>
            <w:tcW w:w="1419" w:type="dxa"/>
            <w:tcBorders>
              <w:top w:val="single" w:sz="8" w:space="0" w:color="auto"/>
              <w:left w:val="nil"/>
              <w:bottom w:val="single" w:sz="8" w:space="0" w:color="auto"/>
              <w:right w:val="single" w:sz="4" w:space="0" w:color="auto"/>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2006 (Amount)</w:t>
            </w:r>
          </w:p>
        </w:tc>
        <w:tc>
          <w:tcPr>
            <w:tcW w:w="639" w:type="dxa"/>
            <w:tcBorders>
              <w:top w:val="single" w:sz="8" w:space="0" w:color="auto"/>
              <w:left w:val="nil"/>
              <w:bottom w:val="single" w:sz="8" w:space="0" w:color="auto"/>
              <w:right w:val="nil"/>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2006 (%)</w:t>
            </w:r>
          </w:p>
        </w:tc>
        <w:tc>
          <w:tcPr>
            <w:tcW w:w="1419" w:type="dxa"/>
            <w:tcBorders>
              <w:top w:val="single" w:sz="8" w:space="0" w:color="auto"/>
              <w:left w:val="single" w:sz="8" w:space="0" w:color="auto"/>
              <w:bottom w:val="single" w:sz="8" w:space="0" w:color="auto"/>
              <w:right w:val="single" w:sz="4" w:space="0" w:color="auto"/>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2007 (Amount)</w:t>
            </w:r>
          </w:p>
        </w:tc>
        <w:tc>
          <w:tcPr>
            <w:tcW w:w="639" w:type="dxa"/>
            <w:tcBorders>
              <w:top w:val="single" w:sz="8" w:space="0" w:color="auto"/>
              <w:left w:val="nil"/>
              <w:bottom w:val="single" w:sz="8" w:space="0" w:color="auto"/>
              <w:right w:val="nil"/>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2007 (%)</w:t>
            </w:r>
          </w:p>
        </w:tc>
        <w:tc>
          <w:tcPr>
            <w:tcW w:w="1419" w:type="dxa"/>
            <w:tcBorders>
              <w:top w:val="single" w:sz="8" w:space="0" w:color="auto"/>
              <w:left w:val="single" w:sz="8" w:space="0" w:color="auto"/>
              <w:bottom w:val="single" w:sz="8" w:space="0" w:color="auto"/>
              <w:right w:val="single" w:sz="4" w:space="0" w:color="auto"/>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2007 (Amount)</w:t>
            </w:r>
          </w:p>
        </w:tc>
        <w:tc>
          <w:tcPr>
            <w:tcW w:w="639" w:type="dxa"/>
            <w:tcBorders>
              <w:top w:val="single" w:sz="8" w:space="0" w:color="auto"/>
              <w:left w:val="nil"/>
              <w:bottom w:val="single" w:sz="8" w:space="0" w:color="auto"/>
              <w:right w:val="nil"/>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2008 (%)</w:t>
            </w:r>
          </w:p>
        </w:tc>
        <w:tc>
          <w:tcPr>
            <w:tcW w:w="1419" w:type="dxa"/>
            <w:tcBorders>
              <w:top w:val="single" w:sz="8" w:space="0" w:color="auto"/>
              <w:left w:val="single" w:sz="8" w:space="0" w:color="auto"/>
              <w:bottom w:val="single" w:sz="8" w:space="0" w:color="auto"/>
              <w:right w:val="single" w:sz="4" w:space="0" w:color="auto"/>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2007 (Budgeted Amount)</w:t>
            </w:r>
          </w:p>
        </w:tc>
        <w:tc>
          <w:tcPr>
            <w:tcW w:w="639" w:type="dxa"/>
            <w:tcBorders>
              <w:top w:val="single" w:sz="8" w:space="0" w:color="auto"/>
              <w:left w:val="nil"/>
              <w:bottom w:val="single" w:sz="8" w:space="0" w:color="auto"/>
              <w:right w:val="single" w:sz="8" w:space="0" w:color="auto"/>
            </w:tcBorders>
            <w:shd w:val="clear" w:color="auto" w:fill="297083"/>
            <w:vAlign w:val="center"/>
          </w:tcPr>
          <w:p w:rsidR="00353ED4" w:rsidRPr="00815FA1" w:rsidRDefault="00353ED4" w:rsidP="000B22E3">
            <w:pPr>
              <w:spacing w:after="0" w:line="240" w:lineRule="auto"/>
              <w:jc w:val="center"/>
              <w:rPr>
                <w:b/>
                <w:color w:val="000000"/>
                <w:sz w:val="21"/>
              </w:rPr>
            </w:pPr>
            <w:r w:rsidRPr="00815FA1">
              <w:rPr>
                <w:b/>
                <w:color w:val="000000"/>
                <w:sz w:val="21"/>
              </w:rPr>
              <w:t>2009 (%)</w:t>
            </w:r>
          </w:p>
        </w:tc>
      </w:tr>
      <w:tr w:rsidR="00353ED4" w:rsidRPr="00815FA1">
        <w:trPr>
          <w:trHeight w:val="291"/>
          <w:jc w:val="center"/>
        </w:trPr>
        <w:tc>
          <w:tcPr>
            <w:tcW w:w="1673" w:type="dxa"/>
            <w:tcBorders>
              <w:top w:val="single" w:sz="8" w:space="0" w:color="auto"/>
              <w:left w:val="single" w:sz="8" w:space="0" w:color="auto"/>
              <w:bottom w:val="nil"/>
              <w:right w:val="single" w:sz="8" w:space="0" w:color="auto"/>
            </w:tcBorders>
            <w:shd w:val="clear" w:color="auto" w:fill="297083"/>
            <w:noWrap/>
            <w:vAlign w:val="bottom"/>
          </w:tcPr>
          <w:p w:rsidR="00353ED4" w:rsidRPr="00815FA1" w:rsidRDefault="00353ED4" w:rsidP="000B22E3">
            <w:pPr>
              <w:spacing w:after="0" w:line="240" w:lineRule="auto"/>
              <w:rPr>
                <w:b/>
                <w:color w:val="000000"/>
                <w:sz w:val="21"/>
                <w:u w:val="single"/>
              </w:rPr>
            </w:pPr>
            <w:r w:rsidRPr="00815FA1">
              <w:rPr>
                <w:b/>
                <w:color w:val="000000"/>
                <w:sz w:val="21"/>
                <w:u w:val="single"/>
              </w:rPr>
              <w:t>Collective Health</w:t>
            </w:r>
          </w:p>
        </w:tc>
        <w:tc>
          <w:tcPr>
            <w:tcW w:w="1419" w:type="dxa"/>
            <w:tcBorders>
              <w:top w:val="nil"/>
              <w:left w:val="nil"/>
              <w:bottom w:val="nil"/>
              <w:right w:val="single" w:sz="4" w:space="0" w:color="auto"/>
            </w:tcBorders>
            <w:shd w:val="clear" w:color="auto" w:fill="297083"/>
            <w:noWrap/>
            <w:vAlign w:val="bottom"/>
          </w:tcPr>
          <w:p w:rsidR="00353ED4" w:rsidRPr="00815FA1" w:rsidRDefault="00353ED4" w:rsidP="000B22E3">
            <w:pPr>
              <w:spacing w:after="0" w:line="240" w:lineRule="auto"/>
              <w:jc w:val="right"/>
              <w:rPr>
                <w:b/>
                <w:color w:val="000000"/>
                <w:sz w:val="21"/>
              </w:rPr>
            </w:pPr>
            <w:r w:rsidRPr="00815FA1">
              <w:rPr>
                <w:b/>
                <w:color w:val="000000"/>
                <w:sz w:val="21"/>
              </w:rPr>
              <w:t>376,779,253</w:t>
            </w:r>
          </w:p>
        </w:tc>
        <w:tc>
          <w:tcPr>
            <w:tcW w:w="639" w:type="dxa"/>
            <w:tcBorders>
              <w:top w:val="nil"/>
              <w:left w:val="nil"/>
              <w:bottom w:val="nil"/>
              <w:right w:val="nil"/>
            </w:tcBorders>
            <w:shd w:val="clear" w:color="auto" w:fill="297083"/>
            <w:noWrap/>
            <w:vAlign w:val="bottom"/>
          </w:tcPr>
          <w:p w:rsidR="00353ED4" w:rsidRPr="00815FA1" w:rsidRDefault="00353ED4" w:rsidP="000B22E3">
            <w:pPr>
              <w:spacing w:after="0" w:line="240" w:lineRule="auto"/>
              <w:jc w:val="center"/>
              <w:rPr>
                <w:b/>
                <w:color w:val="000000"/>
                <w:sz w:val="21"/>
              </w:rPr>
            </w:pPr>
            <w:r w:rsidRPr="00815FA1">
              <w:rPr>
                <w:b/>
                <w:color w:val="000000"/>
                <w:sz w:val="21"/>
              </w:rPr>
              <w:t>9%</w:t>
            </w:r>
          </w:p>
        </w:tc>
        <w:tc>
          <w:tcPr>
            <w:tcW w:w="1419" w:type="dxa"/>
            <w:tcBorders>
              <w:top w:val="nil"/>
              <w:left w:val="single" w:sz="8" w:space="0" w:color="auto"/>
              <w:bottom w:val="nil"/>
              <w:right w:val="single" w:sz="4" w:space="0" w:color="auto"/>
            </w:tcBorders>
            <w:shd w:val="clear" w:color="auto" w:fill="297083"/>
            <w:noWrap/>
            <w:vAlign w:val="bottom"/>
          </w:tcPr>
          <w:p w:rsidR="00353ED4" w:rsidRPr="00815FA1" w:rsidRDefault="00353ED4" w:rsidP="000B22E3">
            <w:pPr>
              <w:spacing w:after="0" w:line="240" w:lineRule="auto"/>
              <w:jc w:val="right"/>
              <w:rPr>
                <w:b/>
                <w:color w:val="000000"/>
                <w:sz w:val="21"/>
              </w:rPr>
            </w:pPr>
            <w:r w:rsidRPr="00815FA1">
              <w:rPr>
                <w:b/>
                <w:color w:val="000000"/>
                <w:sz w:val="21"/>
              </w:rPr>
              <w:t>503,199,954</w:t>
            </w:r>
          </w:p>
        </w:tc>
        <w:tc>
          <w:tcPr>
            <w:tcW w:w="639" w:type="dxa"/>
            <w:tcBorders>
              <w:top w:val="nil"/>
              <w:left w:val="nil"/>
              <w:bottom w:val="nil"/>
              <w:right w:val="nil"/>
            </w:tcBorders>
            <w:shd w:val="clear" w:color="auto" w:fill="297083"/>
            <w:noWrap/>
            <w:vAlign w:val="bottom"/>
          </w:tcPr>
          <w:p w:rsidR="00353ED4" w:rsidRPr="00815FA1" w:rsidRDefault="00353ED4" w:rsidP="000B22E3">
            <w:pPr>
              <w:spacing w:after="0" w:line="240" w:lineRule="auto"/>
              <w:jc w:val="center"/>
              <w:rPr>
                <w:b/>
                <w:color w:val="000000"/>
                <w:sz w:val="21"/>
              </w:rPr>
            </w:pPr>
            <w:r w:rsidRPr="00815FA1">
              <w:rPr>
                <w:b/>
                <w:color w:val="000000"/>
                <w:sz w:val="21"/>
              </w:rPr>
              <w:t>12%</w:t>
            </w:r>
          </w:p>
        </w:tc>
        <w:tc>
          <w:tcPr>
            <w:tcW w:w="1419" w:type="dxa"/>
            <w:tcBorders>
              <w:top w:val="nil"/>
              <w:left w:val="single" w:sz="8" w:space="0" w:color="auto"/>
              <w:bottom w:val="nil"/>
              <w:right w:val="single" w:sz="4" w:space="0" w:color="auto"/>
            </w:tcBorders>
            <w:shd w:val="clear" w:color="auto" w:fill="297083"/>
            <w:noWrap/>
            <w:vAlign w:val="bottom"/>
          </w:tcPr>
          <w:p w:rsidR="00353ED4" w:rsidRPr="00815FA1" w:rsidRDefault="00353ED4" w:rsidP="000B22E3">
            <w:pPr>
              <w:spacing w:after="0" w:line="240" w:lineRule="auto"/>
              <w:jc w:val="right"/>
              <w:rPr>
                <w:b/>
                <w:color w:val="000000"/>
                <w:sz w:val="21"/>
              </w:rPr>
            </w:pPr>
            <w:r w:rsidRPr="00815FA1">
              <w:rPr>
                <w:b/>
                <w:color w:val="000000"/>
                <w:sz w:val="21"/>
              </w:rPr>
              <w:t>469,536,699</w:t>
            </w:r>
          </w:p>
        </w:tc>
        <w:tc>
          <w:tcPr>
            <w:tcW w:w="639" w:type="dxa"/>
            <w:tcBorders>
              <w:top w:val="nil"/>
              <w:left w:val="nil"/>
              <w:bottom w:val="nil"/>
              <w:right w:val="nil"/>
            </w:tcBorders>
            <w:shd w:val="clear" w:color="auto" w:fill="297083"/>
            <w:noWrap/>
            <w:vAlign w:val="bottom"/>
          </w:tcPr>
          <w:p w:rsidR="00353ED4" w:rsidRPr="00815FA1" w:rsidRDefault="00353ED4" w:rsidP="000B22E3">
            <w:pPr>
              <w:spacing w:after="0" w:line="240" w:lineRule="auto"/>
              <w:jc w:val="center"/>
              <w:rPr>
                <w:b/>
                <w:color w:val="000000"/>
                <w:sz w:val="21"/>
              </w:rPr>
            </w:pPr>
            <w:r w:rsidRPr="00815FA1">
              <w:rPr>
                <w:b/>
                <w:color w:val="000000"/>
                <w:sz w:val="21"/>
              </w:rPr>
              <w:t>12%</w:t>
            </w:r>
          </w:p>
        </w:tc>
        <w:tc>
          <w:tcPr>
            <w:tcW w:w="1419" w:type="dxa"/>
            <w:tcBorders>
              <w:top w:val="nil"/>
              <w:left w:val="single" w:sz="8" w:space="0" w:color="auto"/>
              <w:bottom w:val="nil"/>
              <w:right w:val="single" w:sz="4" w:space="0" w:color="auto"/>
            </w:tcBorders>
            <w:shd w:val="clear" w:color="auto" w:fill="297083"/>
            <w:noWrap/>
            <w:vAlign w:val="bottom"/>
          </w:tcPr>
          <w:p w:rsidR="00353ED4" w:rsidRPr="00815FA1" w:rsidRDefault="00353ED4" w:rsidP="000B22E3">
            <w:pPr>
              <w:spacing w:after="0" w:line="240" w:lineRule="auto"/>
              <w:jc w:val="right"/>
              <w:rPr>
                <w:b/>
                <w:color w:val="000000"/>
                <w:sz w:val="21"/>
              </w:rPr>
            </w:pPr>
            <w:r w:rsidRPr="00815FA1">
              <w:rPr>
                <w:b/>
                <w:color w:val="000000"/>
                <w:sz w:val="21"/>
              </w:rPr>
              <w:t>490,056,681</w:t>
            </w:r>
          </w:p>
        </w:tc>
        <w:tc>
          <w:tcPr>
            <w:tcW w:w="639" w:type="dxa"/>
            <w:tcBorders>
              <w:top w:val="nil"/>
              <w:left w:val="nil"/>
              <w:bottom w:val="nil"/>
              <w:right w:val="single" w:sz="8" w:space="0" w:color="auto"/>
            </w:tcBorders>
            <w:shd w:val="clear" w:color="auto" w:fill="297083"/>
            <w:noWrap/>
            <w:vAlign w:val="bottom"/>
          </w:tcPr>
          <w:p w:rsidR="00353ED4" w:rsidRPr="00815FA1" w:rsidRDefault="00353ED4" w:rsidP="000B22E3">
            <w:pPr>
              <w:spacing w:after="0" w:line="240" w:lineRule="auto"/>
              <w:jc w:val="center"/>
              <w:rPr>
                <w:b/>
                <w:color w:val="000000"/>
                <w:sz w:val="21"/>
              </w:rPr>
            </w:pPr>
            <w:r w:rsidRPr="00815FA1">
              <w:rPr>
                <w:b/>
                <w:color w:val="000000"/>
                <w:sz w:val="21"/>
              </w:rPr>
              <w:t>11%</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Recurrent</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359,700,986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95%</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439,544,309</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87%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437,473,297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466,226,426</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219,701,743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272,175,047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276,007,022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165,469,859</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Non-Wages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139,999,242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39%</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167,369,262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161,466,275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300,756,567</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Capital</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17,078,267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5%</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63,655,645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13%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32,063,402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23,830,255</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Domestic</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5,491,561</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48,928,275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13,034,816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10,286,117</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43%</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DCR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8,169,101</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584,985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1,875,243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4,893,745</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21%</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Loans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Donor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2,799,869</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11,226,738</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14,888,661</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306"/>
          <w:jc w:val="center"/>
        </w:trPr>
        <w:tc>
          <w:tcPr>
            <w:tcW w:w="1673"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DR</w:t>
            </w:r>
          </w:p>
        </w:tc>
        <w:tc>
          <w:tcPr>
            <w:tcW w:w="1419" w:type="dxa"/>
            <w:tcBorders>
              <w:top w:val="nil"/>
              <w:left w:val="nil"/>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617,737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2,915,648</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2,264,683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8,650,393</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36%</w:t>
            </w:r>
          </w:p>
        </w:tc>
      </w:tr>
      <w:tr w:rsidR="00353ED4" w:rsidRPr="00815FA1">
        <w:trPr>
          <w:trHeight w:val="291"/>
          <w:jc w:val="center"/>
        </w:trPr>
        <w:tc>
          <w:tcPr>
            <w:tcW w:w="1673" w:type="dxa"/>
            <w:tcBorders>
              <w:top w:val="nil"/>
              <w:left w:val="single" w:sz="8" w:space="0" w:color="auto"/>
              <w:bottom w:val="nil"/>
              <w:right w:val="single" w:sz="8" w:space="0" w:color="auto"/>
            </w:tcBorders>
            <w:shd w:val="clear" w:color="000000" w:fill="95B3D7"/>
            <w:noWrap/>
            <w:vAlign w:val="bottom"/>
          </w:tcPr>
          <w:p w:rsidR="00353ED4" w:rsidRPr="00815FA1" w:rsidRDefault="00353ED4" w:rsidP="000B22E3">
            <w:pPr>
              <w:spacing w:after="0" w:line="240" w:lineRule="auto"/>
              <w:rPr>
                <w:b/>
                <w:color w:val="000000"/>
                <w:sz w:val="21"/>
                <w:u w:val="single"/>
              </w:rPr>
            </w:pPr>
            <w:r w:rsidRPr="00815FA1">
              <w:rPr>
                <w:b/>
                <w:color w:val="000000"/>
                <w:sz w:val="21"/>
                <w:u w:val="single"/>
              </w:rPr>
              <w:t>Individual Health</w:t>
            </w:r>
          </w:p>
        </w:tc>
        <w:tc>
          <w:tcPr>
            <w:tcW w:w="1419" w:type="dxa"/>
            <w:tcBorders>
              <w:top w:val="nil"/>
              <w:left w:val="nil"/>
              <w:bottom w:val="nil"/>
              <w:right w:val="single" w:sz="4" w:space="0" w:color="auto"/>
            </w:tcBorders>
            <w:shd w:val="clear" w:color="000000" w:fill="95B3D7"/>
            <w:noWrap/>
            <w:vAlign w:val="bottom"/>
          </w:tcPr>
          <w:p w:rsidR="00353ED4" w:rsidRPr="00815FA1" w:rsidRDefault="00353ED4" w:rsidP="000B22E3">
            <w:pPr>
              <w:spacing w:after="0" w:line="240" w:lineRule="auto"/>
              <w:jc w:val="right"/>
              <w:rPr>
                <w:b/>
                <w:color w:val="000000"/>
                <w:sz w:val="21"/>
              </w:rPr>
            </w:pPr>
            <w:r w:rsidRPr="00815FA1">
              <w:rPr>
                <w:b/>
                <w:color w:val="000000"/>
                <w:sz w:val="21"/>
              </w:rPr>
              <w:t>3,068,720,100</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77%</w:t>
            </w:r>
          </w:p>
        </w:tc>
        <w:tc>
          <w:tcPr>
            <w:tcW w:w="1419" w:type="dxa"/>
            <w:tcBorders>
              <w:top w:val="nil"/>
              <w:left w:val="single" w:sz="8" w:space="0" w:color="auto"/>
              <w:bottom w:val="nil"/>
              <w:right w:val="single" w:sz="4" w:space="0" w:color="auto"/>
            </w:tcBorders>
            <w:shd w:val="clear" w:color="000000" w:fill="95B3D7"/>
            <w:noWrap/>
            <w:vAlign w:val="bottom"/>
          </w:tcPr>
          <w:p w:rsidR="00353ED4" w:rsidRPr="00815FA1" w:rsidRDefault="00353ED4" w:rsidP="000B22E3">
            <w:pPr>
              <w:spacing w:after="0" w:line="240" w:lineRule="auto"/>
              <w:jc w:val="right"/>
              <w:rPr>
                <w:b/>
                <w:color w:val="000000"/>
                <w:sz w:val="21"/>
              </w:rPr>
            </w:pPr>
            <w:r w:rsidRPr="00815FA1">
              <w:rPr>
                <w:b/>
                <w:color w:val="000000"/>
                <w:sz w:val="21"/>
              </w:rPr>
              <w:t>3,236,093,094</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76%</w:t>
            </w:r>
          </w:p>
        </w:tc>
        <w:tc>
          <w:tcPr>
            <w:tcW w:w="1419" w:type="dxa"/>
            <w:tcBorders>
              <w:top w:val="nil"/>
              <w:left w:val="single" w:sz="8" w:space="0" w:color="auto"/>
              <w:bottom w:val="nil"/>
              <w:right w:val="single" w:sz="4" w:space="0" w:color="auto"/>
            </w:tcBorders>
            <w:shd w:val="clear" w:color="000000" w:fill="95B3D7"/>
            <w:noWrap/>
            <w:vAlign w:val="bottom"/>
          </w:tcPr>
          <w:p w:rsidR="00353ED4" w:rsidRPr="00815FA1" w:rsidRDefault="00353ED4" w:rsidP="000B22E3">
            <w:pPr>
              <w:spacing w:after="0" w:line="240" w:lineRule="auto"/>
              <w:jc w:val="right"/>
              <w:rPr>
                <w:b/>
                <w:color w:val="000000"/>
                <w:sz w:val="21"/>
              </w:rPr>
            </w:pPr>
            <w:r w:rsidRPr="00815FA1">
              <w:rPr>
                <w:b/>
                <w:color w:val="000000"/>
                <w:sz w:val="21"/>
              </w:rPr>
              <w:t>2,880,853,578</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75%</w:t>
            </w:r>
          </w:p>
        </w:tc>
        <w:tc>
          <w:tcPr>
            <w:tcW w:w="1419" w:type="dxa"/>
            <w:tcBorders>
              <w:top w:val="nil"/>
              <w:left w:val="single" w:sz="8" w:space="0" w:color="auto"/>
              <w:bottom w:val="nil"/>
              <w:right w:val="single" w:sz="4" w:space="0" w:color="auto"/>
            </w:tcBorders>
            <w:shd w:val="clear" w:color="000000" w:fill="95B3D7"/>
            <w:noWrap/>
            <w:vAlign w:val="bottom"/>
          </w:tcPr>
          <w:p w:rsidR="00353ED4" w:rsidRPr="00815FA1" w:rsidRDefault="00353ED4" w:rsidP="000B22E3">
            <w:pPr>
              <w:spacing w:after="0" w:line="240" w:lineRule="auto"/>
              <w:jc w:val="right"/>
              <w:rPr>
                <w:b/>
                <w:color w:val="000000"/>
                <w:sz w:val="21"/>
              </w:rPr>
            </w:pPr>
            <w:r w:rsidRPr="00815FA1">
              <w:rPr>
                <w:b/>
                <w:color w:val="000000"/>
                <w:sz w:val="21"/>
              </w:rPr>
              <w:t>3,363,501,218</w:t>
            </w:r>
          </w:p>
        </w:tc>
        <w:tc>
          <w:tcPr>
            <w:tcW w:w="639" w:type="dxa"/>
            <w:tcBorders>
              <w:top w:val="single" w:sz="8" w:space="0" w:color="auto"/>
              <w:left w:val="nil"/>
              <w:bottom w:val="nil"/>
              <w:right w:val="single" w:sz="8" w:space="0" w:color="auto"/>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74%</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Recurrent</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2,822,301,866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2,850,356,749</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88%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2,469,470,915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86%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2,855,231,227</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85%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1,704,206,615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1,638,788,562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1,425,570,717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1,633,124,088</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57%</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Non-Wages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1,118,095,252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1,211,568,187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1,043,900,198</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1,222,107,140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43%</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Capital</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246,418,234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385,736,345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12%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411,382,664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14%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508,269,990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15%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Domestic</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102,081,452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308,147,014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273,072,754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391,973,510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77%</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DCR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22,808,154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9%</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18,803,712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12,551,583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32,465,910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Loans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31,009,337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3,841,166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Donor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33,847,929</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22,660,538</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26,589,577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306"/>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56,671,362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32,283,915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99,168,750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83,830,570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16%</w:t>
            </w:r>
          </w:p>
        </w:tc>
      </w:tr>
      <w:tr w:rsidR="00353ED4" w:rsidRPr="00815FA1">
        <w:trPr>
          <w:trHeight w:val="291"/>
          <w:jc w:val="center"/>
        </w:trPr>
        <w:tc>
          <w:tcPr>
            <w:tcW w:w="1673" w:type="dxa"/>
            <w:tcBorders>
              <w:top w:val="single" w:sz="8" w:space="0" w:color="auto"/>
              <w:left w:val="single" w:sz="8" w:space="0" w:color="auto"/>
              <w:bottom w:val="nil"/>
              <w:right w:val="single" w:sz="8" w:space="0" w:color="auto"/>
            </w:tcBorders>
            <w:shd w:val="clear" w:color="000000" w:fill="95B3D7"/>
            <w:vAlign w:val="bottom"/>
          </w:tcPr>
          <w:p w:rsidR="00353ED4" w:rsidRPr="00815FA1" w:rsidRDefault="00353ED4" w:rsidP="000B22E3">
            <w:pPr>
              <w:spacing w:after="0" w:line="240" w:lineRule="auto"/>
              <w:rPr>
                <w:b/>
                <w:color w:val="000000"/>
                <w:sz w:val="21"/>
                <w:u w:val="single"/>
              </w:rPr>
            </w:pPr>
            <w:r w:rsidRPr="00815FA1">
              <w:rPr>
                <w:b/>
                <w:color w:val="000000"/>
                <w:sz w:val="21"/>
                <w:u w:val="single"/>
              </w:rPr>
              <w:t>Other Expenditure*</w:t>
            </w:r>
          </w:p>
        </w:tc>
        <w:tc>
          <w:tcPr>
            <w:tcW w:w="1419" w:type="dxa"/>
            <w:tcBorders>
              <w:top w:val="single" w:sz="8" w:space="0" w:color="auto"/>
              <w:left w:val="nil"/>
              <w:bottom w:val="nil"/>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532,274,970</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13%</w:t>
            </w:r>
          </w:p>
        </w:tc>
        <w:tc>
          <w:tcPr>
            <w:tcW w:w="1419" w:type="dxa"/>
            <w:tcBorders>
              <w:top w:val="single" w:sz="8" w:space="0" w:color="auto"/>
              <w:left w:val="single" w:sz="8" w:space="0" w:color="auto"/>
              <w:bottom w:val="nil"/>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527,334,280</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12%</w:t>
            </w:r>
          </w:p>
        </w:tc>
        <w:tc>
          <w:tcPr>
            <w:tcW w:w="1419" w:type="dxa"/>
            <w:tcBorders>
              <w:top w:val="single" w:sz="8" w:space="0" w:color="auto"/>
              <w:left w:val="single" w:sz="8" w:space="0" w:color="auto"/>
              <w:bottom w:val="nil"/>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496,219,100</w:t>
            </w:r>
          </w:p>
        </w:tc>
        <w:tc>
          <w:tcPr>
            <w:tcW w:w="639" w:type="dxa"/>
            <w:tcBorders>
              <w:top w:val="single" w:sz="8" w:space="0" w:color="auto"/>
              <w:left w:val="nil"/>
              <w:bottom w:val="nil"/>
              <w:right w:val="nil"/>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13%</w:t>
            </w:r>
          </w:p>
        </w:tc>
        <w:tc>
          <w:tcPr>
            <w:tcW w:w="1419" w:type="dxa"/>
            <w:tcBorders>
              <w:top w:val="single" w:sz="8" w:space="0" w:color="auto"/>
              <w:left w:val="single" w:sz="8" w:space="0" w:color="auto"/>
              <w:bottom w:val="nil"/>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661,464,013</w:t>
            </w:r>
          </w:p>
        </w:tc>
        <w:tc>
          <w:tcPr>
            <w:tcW w:w="639" w:type="dxa"/>
            <w:tcBorders>
              <w:top w:val="single" w:sz="8" w:space="0" w:color="auto"/>
              <w:left w:val="nil"/>
              <w:bottom w:val="nil"/>
              <w:right w:val="single" w:sz="8" w:space="0" w:color="auto"/>
            </w:tcBorders>
            <w:shd w:val="clear" w:color="000000" w:fill="95B3D7"/>
            <w:noWrap/>
            <w:vAlign w:val="bottom"/>
          </w:tcPr>
          <w:p w:rsidR="00353ED4" w:rsidRPr="00815FA1" w:rsidRDefault="00353ED4" w:rsidP="000B22E3">
            <w:pPr>
              <w:spacing w:after="0" w:line="240" w:lineRule="auto"/>
              <w:jc w:val="center"/>
              <w:rPr>
                <w:b/>
                <w:color w:val="000000"/>
                <w:sz w:val="21"/>
              </w:rPr>
            </w:pPr>
            <w:r w:rsidRPr="00815FA1">
              <w:rPr>
                <w:b/>
                <w:color w:val="000000"/>
                <w:sz w:val="21"/>
              </w:rPr>
              <w:t>15%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Recurrent</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516,632,685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516,327,075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482,291,683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628,412,244</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95%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372,637,044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376,666,459</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356,150,213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477,005,079</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76%</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Non-Wages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143,995,641</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139,660,616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27%</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126,141,470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26%</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151,407,164</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0B22E3">
            <w:pPr>
              <w:spacing w:after="0" w:line="240" w:lineRule="auto"/>
              <w:rPr>
                <w:b/>
                <w:i/>
                <w:color w:val="000000"/>
                <w:sz w:val="21"/>
              </w:rPr>
            </w:pPr>
            <w:r w:rsidRPr="00815FA1">
              <w:rPr>
                <w:b/>
                <w:i/>
                <w:color w:val="000000"/>
                <w:sz w:val="21"/>
              </w:rPr>
              <w:t>Capital</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15,642,285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11,007,205</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13,927,417</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3%</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33,051,770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center"/>
              <w:rPr>
                <w:b/>
                <w:i/>
                <w:color w:val="000000"/>
                <w:sz w:val="21"/>
                <w:u w:val="single"/>
              </w:rPr>
            </w:pPr>
            <w:r w:rsidRPr="00815FA1">
              <w:rPr>
                <w:b/>
                <w:i/>
                <w:color w:val="000000"/>
                <w:sz w:val="21"/>
                <w:u w:val="single"/>
              </w:rPr>
              <w:t>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Domestic</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5,504,914</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35%</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6,379,443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58%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8,506,530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61%</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11,678,751</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35%</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DCR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10,090,760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65%</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4,176,346</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38%</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3,302,052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21,261,172</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64%</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Loans</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291"/>
          <w:jc w:val="center"/>
        </w:trPr>
        <w:tc>
          <w:tcPr>
            <w:tcW w:w="1673" w:type="dxa"/>
            <w:tcBorders>
              <w:top w:val="nil"/>
              <w:left w:val="single" w:sz="8" w:space="0" w:color="auto"/>
              <w:bottom w:val="nil"/>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Donor</w:t>
            </w:r>
          </w:p>
        </w:tc>
        <w:tc>
          <w:tcPr>
            <w:tcW w:w="1419" w:type="dxa"/>
            <w:tcBorders>
              <w:top w:val="nil"/>
              <w:left w:val="nil"/>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22,111</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388,373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4%</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246,213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w:t>
            </w:r>
          </w:p>
        </w:tc>
        <w:tc>
          <w:tcPr>
            <w:tcW w:w="1419" w:type="dxa"/>
            <w:tcBorders>
              <w:top w:val="nil"/>
              <w:left w:val="single" w:sz="8" w:space="0" w:color="auto"/>
              <w:bottom w:val="nil"/>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306"/>
          <w:jc w:val="center"/>
        </w:trPr>
        <w:tc>
          <w:tcPr>
            <w:tcW w:w="1673"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after="0" w:line="240" w:lineRule="auto"/>
              <w:ind w:firstLineChars="100" w:firstLine="210"/>
              <w:rPr>
                <w:color w:val="000000"/>
                <w:sz w:val="21"/>
              </w:rPr>
            </w:pPr>
            <w:r w:rsidRPr="00815FA1">
              <w:rPr>
                <w:color w:val="000000"/>
                <w:sz w:val="21"/>
              </w:rPr>
              <w:t>DR</w:t>
            </w:r>
          </w:p>
        </w:tc>
        <w:tc>
          <w:tcPr>
            <w:tcW w:w="1419" w:type="dxa"/>
            <w:tcBorders>
              <w:top w:val="nil"/>
              <w:left w:val="nil"/>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24,500</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63,043</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1,872,622</w:t>
            </w:r>
          </w:p>
        </w:tc>
        <w:tc>
          <w:tcPr>
            <w:tcW w:w="639" w:type="dxa"/>
            <w:tcBorders>
              <w:top w:val="nil"/>
              <w:left w:val="nil"/>
              <w:bottom w:val="nil"/>
              <w:right w:val="nil"/>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13%</w:t>
            </w:r>
          </w:p>
        </w:tc>
        <w:tc>
          <w:tcPr>
            <w:tcW w:w="1419" w:type="dxa"/>
            <w:tcBorders>
              <w:top w:val="nil"/>
              <w:left w:val="single" w:sz="8" w:space="0" w:color="auto"/>
              <w:bottom w:val="single" w:sz="8" w:space="0" w:color="auto"/>
              <w:right w:val="single" w:sz="4"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111,846</w:t>
            </w:r>
          </w:p>
        </w:tc>
        <w:tc>
          <w:tcPr>
            <w:tcW w:w="639" w:type="dxa"/>
            <w:tcBorders>
              <w:top w:val="nil"/>
              <w:left w:val="nil"/>
              <w:bottom w:val="nil"/>
              <w:right w:val="single" w:sz="8" w:space="0" w:color="auto"/>
            </w:tcBorders>
            <w:noWrap/>
            <w:vAlign w:val="bottom"/>
          </w:tcPr>
          <w:p w:rsidR="00353ED4" w:rsidRPr="00815FA1" w:rsidRDefault="00353ED4" w:rsidP="000B22E3">
            <w:pPr>
              <w:spacing w:after="0" w:line="240" w:lineRule="auto"/>
              <w:jc w:val="right"/>
              <w:rPr>
                <w:color w:val="000000"/>
                <w:sz w:val="21"/>
              </w:rPr>
            </w:pPr>
            <w:r w:rsidRPr="00815FA1">
              <w:rPr>
                <w:color w:val="000000"/>
                <w:sz w:val="21"/>
              </w:rPr>
              <w:t>0%</w:t>
            </w:r>
          </w:p>
        </w:tc>
      </w:tr>
      <w:tr w:rsidR="00353ED4" w:rsidRPr="00815FA1">
        <w:trPr>
          <w:trHeight w:val="306"/>
          <w:jc w:val="center"/>
        </w:trPr>
        <w:tc>
          <w:tcPr>
            <w:tcW w:w="1673" w:type="dxa"/>
            <w:tcBorders>
              <w:top w:val="nil"/>
              <w:left w:val="single" w:sz="8" w:space="0" w:color="auto"/>
              <w:bottom w:val="single" w:sz="8" w:space="0" w:color="auto"/>
              <w:right w:val="single" w:sz="8" w:space="0" w:color="auto"/>
            </w:tcBorders>
            <w:shd w:val="clear" w:color="000000" w:fill="95B3D7"/>
            <w:vAlign w:val="bottom"/>
          </w:tcPr>
          <w:p w:rsidR="00353ED4" w:rsidRPr="00815FA1" w:rsidRDefault="00353ED4" w:rsidP="000B22E3">
            <w:pPr>
              <w:spacing w:after="0" w:line="240" w:lineRule="auto"/>
              <w:rPr>
                <w:b/>
                <w:color w:val="000000"/>
                <w:sz w:val="21"/>
                <w:u w:val="single"/>
              </w:rPr>
            </w:pPr>
            <w:r w:rsidRPr="00815FA1">
              <w:rPr>
                <w:b/>
                <w:color w:val="000000"/>
                <w:sz w:val="21"/>
                <w:u w:val="single"/>
              </w:rPr>
              <w:t>TOTAL EXPENDITURE</w:t>
            </w:r>
          </w:p>
        </w:tc>
        <w:tc>
          <w:tcPr>
            <w:tcW w:w="1419" w:type="dxa"/>
            <w:tcBorders>
              <w:top w:val="nil"/>
              <w:left w:val="nil"/>
              <w:bottom w:val="single" w:sz="8" w:space="0" w:color="auto"/>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3,977,774,324</w:t>
            </w:r>
          </w:p>
        </w:tc>
        <w:tc>
          <w:tcPr>
            <w:tcW w:w="639" w:type="dxa"/>
            <w:tcBorders>
              <w:top w:val="single" w:sz="8" w:space="0" w:color="auto"/>
              <w:left w:val="nil"/>
              <w:bottom w:val="single" w:sz="8" w:space="0" w:color="auto"/>
              <w:right w:val="nil"/>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100%</w:t>
            </w:r>
          </w:p>
        </w:tc>
        <w:tc>
          <w:tcPr>
            <w:tcW w:w="1419" w:type="dxa"/>
            <w:tcBorders>
              <w:top w:val="nil"/>
              <w:left w:val="single" w:sz="8" w:space="0" w:color="auto"/>
              <w:bottom w:val="single" w:sz="8" w:space="0" w:color="auto"/>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4,266,627,328</w:t>
            </w:r>
          </w:p>
        </w:tc>
        <w:tc>
          <w:tcPr>
            <w:tcW w:w="639" w:type="dxa"/>
            <w:tcBorders>
              <w:top w:val="single" w:sz="8" w:space="0" w:color="auto"/>
              <w:left w:val="nil"/>
              <w:bottom w:val="single" w:sz="8" w:space="0" w:color="auto"/>
              <w:right w:val="nil"/>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100%</w:t>
            </w:r>
          </w:p>
        </w:tc>
        <w:tc>
          <w:tcPr>
            <w:tcW w:w="1419" w:type="dxa"/>
            <w:tcBorders>
              <w:top w:val="nil"/>
              <w:left w:val="single" w:sz="8" w:space="0" w:color="auto"/>
              <w:bottom w:val="single" w:sz="8" w:space="0" w:color="auto"/>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3,846,609,377</w:t>
            </w:r>
          </w:p>
        </w:tc>
        <w:tc>
          <w:tcPr>
            <w:tcW w:w="639" w:type="dxa"/>
            <w:tcBorders>
              <w:top w:val="single" w:sz="8" w:space="0" w:color="auto"/>
              <w:left w:val="nil"/>
              <w:bottom w:val="single" w:sz="8" w:space="0" w:color="auto"/>
              <w:right w:val="nil"/>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100%</w:t>
            </w:r>
          </w:p>
        </w:tc>
        <w:tc>
          <w:tcPr>
            <w:tcW w:w="1419" w:type="dxa"/>
            <w:tcBorders>
              <w:top w:val="nil"/>
              <w:left w:val="single" w:sz="8" w:space="0" w:color="auto"/>
              <w:bottom w:val="single" w:sz="8" w:space="0" w:color="auto"/>
              <w:right w:val="single" w:sz="4"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4,515,021,912</w:t>
            </w:r>
          </w:p>
        </w:tc>
        <w:tc>
          <w:tcPr>
            <w:tcW w:w="639" w:type="dxa"/>
            <w:tcBorders>
              <w:top w:val="single" w:sz="8" w:space="0" w:color="auto"/>
              <w:left w:val="nil"/>
              <w:bottom w:val="single" w:sz="8" w:space="0" w:color="auto"/>
              <w:right w:val="single" w:sz="8" w:space="0" w:color="auto"/>
            </w:tcBorders>
            <w:shd w:val="clear" w:color="000000" w:fill="95B3D7"/>
            <w:noWrap/>
            <w:vAlign w:val="center"/>
          </w:tcPr>
          <w:p w:rsidR="00353ED4" w:rsidRPr="00815FA1" w:rsidRDefault="00353ED4" w:rsidP="000B22E3">
            <w:pPr>
              <w:spacing w:after="0" w:line="240" w:lineRule="auto"/>
              <w:jc w:val="center"/>
              <w:rPr>
                <w:b/>
                <w:color w:val="000000"/>
                <w:sz w:val="21"/>
              </w:rPr>
            </w:pPr>
            <w:r w:rsidRPr="00815FA1">
              <w:rPr>
                <w:b/>
                <w:color w:val="000000"/>
                <w:sz w:val="21"/>
              </w:rPr>
              <w:t>100%</w:t>
            </w:r>
          </w:p>
        </w:tc>
      </w:tr>
    </w:tbl>
    <w:p w:rsidR="00353ED4" w:rsidRPr="00D865F2" w:rsidRDefault="00353ED4" w:rsidP="00B5075C">
      <w:pPr>
        <w:ind w:firstLine="708"/>
        <w:rPr>
          <w:sz w:val="22"/>
          <w:szCs w:val="22"/>
        </w:rPr>
      </w:pPr>
      <w:r w:rsidRPr="00D865F2">
        <w:rPr>
          <w:sz w:val="22"/>
          <w:szCs w:val="22"/>
        </w:rPr>
        <w:t>Source: SIAF</w:t>
      </w:r>
    </w:p>
    <w:p w:rsidR="00353ED4" w:rsidRPr="00D865F2" w:rsidRDefault="00353ED4" w:rsidP="00607344">
      <w:pPr>
        <w:jc w:val="both"/>
        <w:rPr>
          <w:sz w:val="22"/>
          <w:szCs w:val="22"/>
        </w:rPr>
      </w:pPr>
      <w:r w:rsidRPr="00D865F2">
        <w:rPr>
          <w:sz w:val="22"/>
          <w:szCs w:val="22"/>
        </w:rPr>
        <w:t>Most part of the expenditure concentrates in the Individual Health program (74.5% in 2008), which represents all attentions in hospitals, health centers and posts, both basic and specialized attentions. The relative importance of collective health (the program that includes collective preventive actions) appears to be low. However, since 2007 the importance of Collective Health is raising, not only in the budget but also in the sector’s planning. The inclusion of performance based budget programs that encourage collective actions to improve health, as well as the modification of SIS tariffs to favor prevention</w:t>
      </w:r>
      <w:r w:rsidRPr="00D865F2">
        <w:rPr>
          <w:rStyle w:val="Refdenotaalpie"/>
          <w:sz w:val="22"/>
          <w:szCs w:val="22"/>
        </w:rPr>
        <w:footnoteReference w:id="20"/>
      </w:r>
      <w:r w:rsidRPr="00D865F2">
        <w:rPr>
          <w:sz w:val="22"/>
          <w:szCs w:val="22"/>
        </w:rPr>
        <w:t xml:space="preserve"> imply more importance (and more future budget) in collective health. Collective Health goals are preventing and controlling possible threats to public health, give advice and information to families, schools and communities to improve members’ health. Given these goals, MINSA´s officers estimate an increase in collective health </w:t>
      </w:r>
      <w:r>
        <w:rPr>
          <w:sz w:val="22"/>
          <w:szCs w:val="22"/>
        </w:rPr>
        <w:t xml:space="preserve">budget </w:t>
      </w:r>
      <w:r w:rsidRPr="00D865F2">
        <w:rPr>
          <w:sz w:val="22"/>
          <w:szCs w:val="22"/>
        </w:rPr>
        <w:t>until</w:t>
      </w:r>
      <w:r>
        <w:rPr>
          <w:sz w:val="22"/>
          <w:szCs w:val="22"/>
        </w:rPr>
        <w:t xml:space="preserve"> it </w:t>
      </w:r>
      <w:r w:rsidRPr="00D865F2">
        <w:rPr>
          <w:sz w:val="22"/>
          <w:szCs w:val="22"/>
        </w:rPr>
        <w:t>reach</w:t>
      </w:r>
      <w:r>
        <w:rPr>
          <w:sz w:val="22"/>
          <w:szCs w:val="22"/>
        </w:rPr>
        <w:t>es</w:t>
      </w:r>
      <w:r w:rsidRPr="00D865F2">
        <w:rPr>
          <w:sz w:val="22"/>
          <w:szCs w:val="22"/>
        </w:rPr>
        <w:t xml:space="preserve"> 25% of the total public sector budget. </w:t>
      </w:r>
    </w:p>
    <w:p w:rsidR="00353ED4" w:rsidRPr="00D865F2" w:rsidRDefault="00353ED4" w:rsidP="008D1122">
      <w:pPr>
        <w:jc w:val="both"/>
        <w:rPr>
          <w:sz w:val="22"/>
          <w:szCs w:val="22"/>
        </w:rPr>
      </w:pPr>
      <w:r w:rsidRPr="00D865F2">
        <w:rPr>
          <w:sz w:val="22"/>
          <w:szCs w:val="22"/>
        </w:rPr>
        <w:t xml:space="preserve">Although individual health is the main program, capital expenditure in this category is significantly low. As suggested before, Peruvian government has not being investing enough in capital </w:t>
      </w:r>
      <w:r>
        <w:rPr>
          <w:sz w:val="22"/>
          <w:szCs w:val="22"/>
        </w:rPr>
        <w:t xml:space="preserve">during </w:t>
      </w:r>
      <w:r w:rsidRPr="00D865F2">
        <w:rPr>
          <w:sz w:val="22"/>
          <w:szCs w:val="22"/>
        </w:rPr>
        <w:t xml:space="preserve">the last decades. Thus, the capital expenditure needed to close the infrastructure and equipment gap is higher. </w:t>
      </w:r>
    </w:p>
    <w:p w:rsidR="00353ED4" w:rsidRPr="00D865F2" w:rsidRDefault="00353ED4" w:rsidP="009C294A">
      <w:pPr>
        <w:jc w:val="both"/>
        <w:rPr>
          <w:sz w:val="22"/>
          <w:szCs w:val="22"/>
        </w:rPr>
      </w:pPr>
      <w:r w:rsidRPr="00D865F2">
        <w:rPr>
          <w:sz w:val="22"/>
          <w:szCs w:val="22"/>
        </w:rPr>
        <w:t xml:space="preserve">In </w:t>
      </w:r>
      <w:r>
        <w:rPr>
          <w:sz w:val="22"/>
          <w:szCs w:val="22"/>
        </w:rPr>
        <w:t>Table 25, expenditures</w:t>
      </w:r>
      <w:r w:rsidRPr="00D865F2">
        <w:rPr>
          <w:sz w:val="22"/>
          <w:szCs w:val="22"/>
        </w:rPr>
        <w:t xml:space="preserve"> by program and health facility type are listed for 2008. Hospitals execute, in general, more resources than any other type of facility; in second place, and not far away, come </w:t>
      </w:r>
      <w:r>
        <w:rPr>
          <w:sz w:val="22"/>
          <w:szCs w:val="22"/>
        </w:rPr>
        <w:t>h</w:t>
      </w:r>
      <w:r w:rsidRPr="00D865F2">
        <w:rPr>
          <w:sz w:val="22"/>
          <w:szCs w:val="22"/>
        </w:rPr>
        <w:t>ealth centers, hospital of minor complexity and healt</w:t>
      </w:r>
      <w:r>
        <w:rPr>
          <w:sz w:val="22"/>
          <w:szCs w:val="22"/>
        </w:rPr>
        <w:t>h posts.  According to ENAHO 2008, 20</w:t>
      </w:r>
      <w:r w:rsidRPr="00D865F2">
        <w:rPr>
          <w:sz w:val="22"/>
          <w:szCs w:val="22"/>
        </w:rPr>
        <w:t xml:space="preserve">% of people who </w:t>
      </w:r>
      <w:r>
        <w:rPr>
          <w:sz w:val="22"/>
          <w:szCs w:val="22"/>
        </w:rPr>
        <w:t xml:space="preserve">were </w:t>
      </w:r>
      <w:r w:rsidRPr="00D865F2">
        <w:rPr>
          <w:sz w:val="22"/>
          <w:szCs w:val="22"/>
        </w:rPr>
        <w:t>attend</w:t>
      </w:r>
      <w:r>
        <w:rPr>
          <w:sz w:val="22"/>
          <w:szCs w:val="22"/>
        </w:rPr>
        <w:t>ed in MINSA establishments did</w:t>
      </w:r>
      <w:r w:rsidRPr="00D865F2">
        <w:rPr>
          <w:sz w:val="22"/>
          <w:szCs w:val="22"/>
        </w:rPr>
        <w:t xml:space="preserve"> it in hospitals</w:t>
      </w:r>
      <w:r>
        <w:rPr>
          <w:sz w:val="22"/>
          <w:szCs w:val="22"/>
        </w:rPr>
        <w:t>.</w:t>
      </w:r>
      <w:r w:rsidRPr="00D865F2">
        <w:rPr>
          <w:sz w:val="22"/>
          <w:szCs w:val="22"/>
        </w:rPr>
        <w:t xml:space="preserve"> However, hospitals have more expensive costs of attention because of its higher administrative and infrastructure costs. Additionally, hospitals do attend more complex health problems, which are more expensive to cure.  </w:t>
      </w:r>
    </w:p>
    <w:p w:rsidR="00353ED4" w:rsidRPr="00815FA1" w:rsidRDefault="00353ED4" w:rsidP="009C294A">
      <w:pPr>
        <w:pStyle w:val="Epgrafe"/>
        <w:jc w:val="center"/>
        <w:rPr>
          <w:color w:val="auto"/>
          <w:sz w:val="22"/>
        </w:rPr>
      </w:pPr>
      <w:bookmarkStart w:id="59" w:name="_Ref246118993"/>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25</w:t>
      </w:r>
      <w:r w:rsidRPr="00815FA1">
        <w:rPr>
          <w:color w:val="auto"/>
          <w:sz w:val="22"/>
        </w:rPr>
        <w:fldChar w:fldCharType="end"/>
      </w:r>
      <w:bookmarkEnd w:id="59"/>
      <w:r w:rsidRPr="00815FA1">
        <w:rPr>
          <w:color w:val="auto"/>
          <w:sz w:val="22"/>
        </w:rPr>
        <w:t>: Health expenditure by type of establishment and budget program, amount in current Nuevos Soles, 2008</w:t>
      </w:r>
    </w:p>
    <w:tbl>
      <w:tblPr>
        <w:tblW w:w="11662" w:type="dxa"/>
        <w:jc w:val="center"/>
        <w:tblCellMar>
          <w:left w:w="70" w:type="dxa"/>
          <w:right w:w="70" w:type="dxa"/>
        </w:tblCellMar>
        <w:tblLook w:val="00A0" w:firstRow="1" w:lastRow="0" w:firstColumn="1" w:lastColumn="0" w:noHBand="0" w:noVBand="0"/>
      </w:tblPr>
      <w:tblGrid>
        <w:gridCol w:w="1882"/>
        <w:gridCol w:w="1287"/>
        <w:gridCol w:w="1028"/>
        <w:gridCol w:w="1453"/>
        <w:gridCol w:w="1078"/>
        <w:gridCol w:w="1359"/>
        <w:gridCol w:w="1359"/>
        <w:gridCol w:w="1453"/>
        <w:gridCol w:w="763"/>
      </w:tblGrid>
      <w:tr w:rsidR="00353ED4" w:rsidRPr="00815FA1">
        <w:trPr>
          <w:trHeight w:val="904"/>
          <w:jc w:val="center"/>
        </w:trPr>
        <w:tc>
          <w:tcPr>
            <w:tcW w:w="1882" w:type="dxa"/>
            <w:tcBorders>
              <w:top w:val="single" w:sz="8" w:space="0" w:color="auto"/>
              <w:left w:val="single" w:sz="8" w:space="0" w:color="auto"/>
              <w:bottom w:val="nil"/>
              <w:right w:val="single" w:sz="8"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Health</w:t>
            </w:r>
          </w:p>
        </w:tc>
        <w:tc>
          <w:tcPr>
            <w:tcW w:w="1287" w:type="dxa"/>
            <w:tcBorders>
              <w:top w:val="single" w:sz="8" w:space="0" w:color="auto"/>
              <w:left w:val="nil"/>
              <w:bottom w:val="nil"/>
              <w:right w:val="single" w:sz="4"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Collective Health (Amount)</w:t>
            </w:r>
          </w:p>
        </w:tc>
        <w:tc>
          <w:tcPr>
            <w:tcW w:w="1028" w:type="dxa"/>
            <w:tcBorders>
              <w:top w:val="single" w:sz="8" w:space="0" w:color="auto"/>
              <w:left w:val="single" w:sz="4" w:space="0" w:color="auto"/>
              <w:bottom w:val="nil"/>
              <w:right w:val="single" w:sz="4"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Collective Health (%)</w:t>
            </w:r>
          </w:p>
        </w:tc>
        <w:tc>
          <w:tcPr>
            <w:tcW w:w="1453" w:type="dxa"/>
            <w:tcBorders>
              <w:top w:val="single" w:sz="8" w:space="0" w:color="auto"/>
              <w:left w:val="single" w:sz="4" w:space="0" w:color="auto"/>
              <w:bottom w:val="nil"/>
              <w:right w:val="single" w:sz="4"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Individual Health (Amount)</w:t>
            </w:r>
          </w:p>
        </w:tc>
        <w:tc>
          <w:tcPr>
            <w:tcW w:w="1078" w:type="dxa"/>
            <w:tcBorders>
              <w:top w:val="single" w:sz="8" w:space="0" w:color="auto"/>
              <w:left w:val="single" w:sz="4" w:space="0" w:color="auto"/>
              <w:bottom w:val="nil"/>
              <w:right w:val="single" w:sz="4"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Individual Health (%)</w:t>
            </w:r>
          </w:p>
        </w:tc>
        <w:tc>
          <w:tcPr>
            <w:tcW w:w="1359" w:type="dxa"/>
            <w:tcBorders>
              <w:top w:val="single" w:sz="8" w:space="0" w:color="auto"/>
              <w:left w:val="single" w:sz="4" w:space="0" w:color="auto"/>
              <w:bottom w:val="nil"/>
              <w:right w:val="single" w:sz="4"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Other Expenditure* (Amount)</w:t>
            </w:r>
          </w:p>
        </w:tc>
        <w:tc>
          <w:tcPr>
            <w:tcW w:w="1359" w:type="dxa"/>
            <w:tcBorders>
              <w:top w:val="single" w:sz="8" w:space="0" w:color="auto"/>
              <w:left w:val="single" w:sz="4" w:space="0" w:color="auto"/>
              <w:bottom w:val="nil"/>
              <w:right w:val="nil"/>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Other Expenditure* (%)</w:t>
            </w:r>
          </w:p>
        </w:tc>
        <w:tc>
          <w:tcPr>
            <w:tcW w:w="1453" w:type="dxa"/>
            <w:tcBorders>
              <w:top w:val="single" w:sz="8" w:space="0" w:color="auto"/>
              <w:left w:val="single" w:sz="8" w:space="0" w:color="auto"/>
              <w:bottom w:val="nil"/>
              <w:right w:val="single" w:sz="8"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TOTAL (Amount)</w:t>
            </w:r>
          </w:p>
        </w:tc>
        <w:tc>
          <w:tcPr>
            <w:tcW w:w="763" w:type="dxa"/>
            <w:tcBorders>
              <w:top w:val="single" w:sz="8" w:space="0" w:color="auto"/>
              <w:left w:val="nil"/>
              <w:bottom w:val="nil"/>
              <w:right w:val="single" w:sz="8" w:space="0" w:color="auto"/>
            </w:tcBorders>
            <w:shd w:val="clear" w:color="auto" w:fill="297083"/>
            <w:vAlign w:val="center"/>
          </w:tcPr>
          <w:p w:rsidR="00353ED4" w:rsidRPr="00815FA1" w:rsidRDefault="00353ED4" w:rsidP="00E5146F">
            <w:pPr>
              <w:spacing w:after="0" w:line="240" w:lineRule="auto"/>
              <w:jc w:val="center"/>
              <w:rPr>
                <w:b/>
                <w:color w:val="000000"/>
                <w:sz w:val="21"/>
              </w:rPr>
            </w:pPr>
            <w:r w:rsidRPr="00815FA1">
              <w:rPr>
                <w:b/>
                <w:color w:val="000000"/>
                <w:sz w:val="21"/>
              </w:rPr>
              <w:t>TOTAL (%)</w:t>
            </w:r>
          </w:p>
        </w:tc>
      </w:tr>
      <w:tr w:rsidR="00353ED4" w:rsidRPr="00815FA1">
        <w:trPr>
          <w:trHeight w:val="311"/>
          <w:jc w:val="center"/>
        </w:trPr>
        <w:tc>
          <w:tcPr>
            <w:tcW w:w="1882" w:type="dxa"/>
            <w:tcBorders>
              <w:top w:val="single" w:sz="8" w:space="0" w:color="auto"/>
              <w:left w:val="single" w:sz="8" w:space="0" w:color="auto"/>
              <w:bottom w:val="single" w:sz="8"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TOTAL</w:t>
            </w:r>
          </w:p>
        </w:tc>
        <w:tc>
          <w:tcPr>
            <w:tcW w:w="1287" w:type="dxa"/>
            <w:tcBorders>
              <w:top w:val="single" w:sz="8" w:space="0" w:color="auto"/>
              <w:left w:val="nil"/>
              <w:bottom w:val="single" w:sz="8" w:space="0" w:color="auto"/>
              <w:right w:val="single" w:sz="4"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520,430,185</w:t>
            </w:r>
          </w:p>
        </w:tc>
        <w:tc>
          <w:tcPr>
            <w:tcW w:w="1028" w:type="dxa"/>
            <w:tcBorders>
              <w:top w:val="single" w:sz="8" w:space="0" w:color="auto"/>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100%</w:t>
            </w:r>
          </w:p>
        </w:tc>
        <w:tc>
          <w:tcPr>
            <w:tcW w:w="1453" w:type="dxa"/>
            <w:tcBorders>
              <w:top w:val="single" w:sz="8" w:space="0" w:color="auto"/>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3,193,111,770</w:t>
            </w:r>
          </w:p>
        </w:tc>
        <w:tc>
          <w:tcPr>
            <w:tcW w:w="1078" w:type="dxa"/>
            <w:tcBorders>
              <w:top w:val="single" w:sz="8" w:space="0" w:color="auto"/>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100%</w:t>
            </w:r>
          </w:p>
        </w:tc>
        <w:tc>
          <w:tcPr>
            <w:tcW w:w="1359" w:type="dxa"/>
            <w:tcBorders>
              <w:top w:val="single" w:sz="8" w:space="0" w:color="auto"/>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550,004,714</w:t>
            </w:r>
          </w:p>
        </w:tc>
        <w:tc>
          <w:tcPr>
            <w:tcW w:w="1359" w:type="dxa"/>
            <w:tcBorders>
              <w:top w:val="single" w:sz="8" w:space="0" w:color="auto"/>
              <w:left w:val="single" w:sz="4" w:space="0" w:color="auto"/>
              <w:bottom w:val="single" w:sz="8" w:space="0" w:color="auto"/>
              <w:right w:val="nil"/>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100%</w:t>
            </w:r>
          </w:p>
        </w:tc>
        <w:tc>
          <w:tcPr>
            <w:tcW w:w="1453" w:type="dxa"/>
            <w:tcBorders>
              <w:top w:val="single" w:sz="8" w:space="0" w:color="auto"/>
              <w:left w:val="single" w:sz="8" w:space="0" w:color="auto"/>
              <w:bottom w:val="single" w:sz="8" w:space="0" w:color="auto"/>
              <w:right w:val="single" w:sz="8"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4,263,546,668</w:t>
            </w:r>
          </w:p>
        </w:tc>
        <w:tc>
          <w:tcPr>
            <w:tcW w:w="763" w:type="dxa"/>
            <w:tcBorders>
              <w:top w:val="single" w:sz="8" w:space="0" w:color="auto"/>
              <w:left w:val="nil"/>
              <w:bottom w:val="single" w:sz="8" w:space="0" w:color="auto"/>
              <w:right w:val="single" w:sz="8" w:space="0" w:color="auto"/>
            </w:tcBorders>
            <w:noWrap/>
            <w:vAlign w:val="center"/>
          </w:tcPr>
          <w:p w:rsidR="00353ED4" w:rsidRPr="00815FA1" w:rsidRDefault="00353ED4" w:rsidP="00E5146F">
            <w:pPr>
              <w:spacing w:after="0" w:line="240" w:lineRule="auto"/>
              <w:jc w:val="center"/>
              <w:rPr>
                <w:b/>
                <w:color w:val="000000"/>
                <w:sz w:val="21"/>
              </w:rPr>
            </w:pPr>
            <w:r w:rsidRPr="00815FA1">
              <w:rPr>
                <w:b/>
                <w:color w:val="000000"/>
                <w:sz w:val="21"/>
              </w:rPr>
              <w:t>100%</w:t>
            </w:r>
          </w:p>
        </w:tc>
      </w:tr>
      <w:tr w:rsidR="00353ED4" w:rsidRPr="00815FA1">
        <w:trPr>
          <w:trHeight w:val="593"/>
          <w:jc w:val="center"/>
        </w:trPr>
        <w:tc>
          <w:tcPr>
            <w:tcW w:w="1882" w:type="dxa"/>
            <w:tcBorders>
              <w:top w:val="nil"/>
              <w:left w:val="single" w:sz="8" w:space="0" w:color="auto"/>
              <w:bottom w:val="single" w:sz="4"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Health Center/Dispensary</w:t>
            </w:r>
          </w:p>
        </w:tc>
        <w:tc>
          <w:tcPr>
            <w:tcW w:w="1287" w:type="dxa"/>
            <w:tcBorders>
              <w:top w:val="nil"/>
              <w:left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149,963,173</w:t>
            </w:r>
          </w:p>
        </w:tc>
        <w:tc>
          <w:tcPr>
            <w:tcW w:w="102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29%</w:t>
            </w:r>
          </w:p>
        </w:tc>
        <w:tc>
          <w:tcPr>
            <w:tcW w:w="1453"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1,114,152,182</w:t>
            </w:r>
          </w:p>
        </w:tc>
        <w:tc>
          <w:tcPr>
            <w:tcW w:w="107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35%</w:t>
            </w:r>
          </w:p>
        </w:tc>
        <w:tc>
          <w:tcPr>
            <w:tcW w:w="1359"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243,950,131</w:t>
            </w:r>
          </w:p>
        </w:tc>
        <w:tc>
          <w:tcPr>
            <w:tcW w:w="1359" w:type="dxa"/>
            <w:tcBorders>
              <w:top w:val="nil"/>
              <w:left w:val="single" w:sz="4" w:space="0" w:color="auto"/>
              <w:bottom w:val="nil"/>
              <w:right w:val="nil"/>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44%</w:t>
            </w:r>
          </w:p>
        </w:tc>
        <w:tc>
          <w:tcPr>
            <w:tcW w:w="1453" w:type="dxa"/>
            <w:tcBorders>
              <w:top w:val="nil"/>
              <w:left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1,508,065,486</w:t>
            </w:r>
          </w:p>
        </w:tc>
        <w:tc>
          <w:tcPr>
            <w:tcW w:w="763" w:type="dxa"/>
            <w:tcBorders>
              <w:top w:val="nil"/>
              <w:left w:val="nil"/>
              <w:bottom w:val="nil"/>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35%</w:t>
            </w:r>
          </w:p>
        </w:tc>
      </w:tr>
      <w:tr w:rsidR="00353ED4" w:rsidRPr="00815FA1">
        <w:trPr>
          <w:trHeight w:val="296"/>
          <w:jc w:val="center"/>
        </w:trPr>
        <w:tc>
          <w:tcPr>
            <w:tcW w:w="1882" w:type="dxa"/>
            <w:tcBorders>
              <w:top w:val="nil"/>
              <w:left w:val="single" w:sz="8" w:space="0" w:color="auto"/>
              <w:bottom w:val="single" w:sz="4"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Hospital</w:t>
            </w:r>
          </w:p>
        </w:tc>
        <w:tc>
          <w:tcPr>
            <w:tcW w:w="1287" w:type="dxa"/>
            <w:tcBorders>
              <w:top w:val="nil"/>
              <w:left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28,474,946</w:t>
            </w:r>
          </w:p>
        </w:tc>
        <w:tc>
          <w:tcPr>
            <w:tcW w:w="102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5%</w:t>
            </w:r>
          </w:p>
        </w:tc>
        <w:tc>
          <w:tcPr>
            <w:tcW w:w="1453"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1,432,908,418</w:t>
            </w:r>
          </w:p>
        </w:tc>
        <w:tc>
          <w:tcPr>
            <w:tcW w:w="107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45%</w:t>
            </w:r>
          </w:p>
        </w:tc>
        <w:tc>
          <w:tcPr>
            <w:tcW w:w="1359"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200,591,341</w:t>
            </w:r>
          </w:p>
        </w:tc>
        <w:tc>
          <w:tcPr>
            <w:tcW w:w="1359" w:type="dxa"/>
            <w:tcBorders>
              <w:top w:val="nil"/>
              <w:left w:val="single" w:sz="4" w:space="0" w:color="auto"/>
              <w:bottom w:val="nil"/>
              <w:right w:val="nil"/>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36%</w:t>
            </w:r>
          </w:p>
        </w:tc>
        <w:tc>
          <w:tcPr>
            <w:tcW w:w="1453" w:type="dxa"/>
            <w:tcBorders>
              <w:top w:val="nil"/>
              <w:left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1,661,974,704</w:t>
            </w:r>
          </w:p>
        </w:tc>
        <w:tc>
          <w:tcPr>
            <w:tcW w:w="763" w:type="dxa"/>
            <w:tcBorders>
              <w:top w:val="nil"/>
              <w:left w:val="nil"/>
              <w:bottom w:val="nil"/>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39%</w:t>
            </w:r>
          </w:p>
        </w:tc>
      </w:tr>
      <w:tr w:rsidR="00353ED4" w:rsidRPr="00815FA1">
        <w:trPr>
          <w:trHeight w:val="296"/>
          <w:jc w:val="center"/>
        </w:trPr>
        <w:tc>
          <w:tcPr>
            <w:tcW w:w="1882" w:type="dxa"/>
            <w:tcBorders>
              <w:top w:val="nil"/>
              <w:left w:val="single" w:sz="8" w:space="0" w:color="auto"/>
              <w:bottom w:val="single" w:sz="4"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OPDs</w:t>
            </w:r>
          </w:p>
        </w:tc>
        <w:tc>
          <w:tcPr>
            <w:tcW w:w="1287" w:type="dxa"/>
            <w:tcBorders>
              <w:top w:val="nil"/>
              <w:left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43,932,940</w:t>
            </w:r>
          </w:p>
        </w:tc>
        <w:tc>
          <w:tcPr>
            <w:tcW w:w="102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8%</w:t>
            </w:r>
          </w:p>
        </w:tc>
        <w:tc>
          <w:tcPr>
            <w:tcW w:w="1453"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264,354,059</w:t>
            </w:r>
          </w:p>
        </w:tc>
        <w:tc>
          <w:tcPr>
            <w:tcW w:w="107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8%</w:t>
            </w:r>
          </w:p>
        </w:tc>
        <w:tc>
          <w:tcPr>
            <w:tcW w:w="1359"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32,191,151</w:t>
            </w:r>
          </w:p>
        </w:tc>
        <w:tc>
          <w:tcPr>
            <w:tcW w:w="1359" w:type="dxa"/>
            <w:tcBorders>
              <w:top w:val="nil"/>
              <w:left w:val="single" w:sz="4" w:space="0" w:color="auto"/>
              <w:bottom w:val="nil"/>
              <w:right w:val="nil"/>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6%</w:t>
            </w:r>
          </w:p>
        </w:tc>
        <w:tc>
          <w:tcPr>
            <w:tcW w:w="1453" w:type="dxa"/>
            <w:tcBorders>
              <w:top w:val="nil"/>
              <w:left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340,478,149</w:t>
            </w:r>
          </w:p>
        </w:tc>
        <w:tc>
          <w:tcPr>
            <w:tcW w:w="763" w:type="dxa"/>
            <w:tcBorders>
              <w:top w:val="nil"/>
              <w:left w:val="nil"/>
              <w:bottom w:val="nil"/>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8%</w:t>
            </w:r>
          </w:p>
        </w:tc>
      </w:tr>
      <w:tr w:rsidR="00353ED4" w:rsidRPr="00815FA1">
        <w:trPr>
          <w:trHeight w:val="593"/>
          <w:jc w:val="center"/>
        </w:trPr>
        <w:tc>
          <w:tcPr>
            <w:tcW w:w="1882" w:type="dxa"/>
            <w:tcBorders>
              <w:top w:val="nil"/>
              <w:left w:val="single" w:sz="8" w:space="0" w:color="auto"/>
              <w:bottom w:val="single" w:sz="4"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Ministerial Administration</w:t>
            </w:r>
          </w:p>
        </w:tc>
        <w:tc>
          <w:tcPr>
            <w:tcW w:w="1287" w:type="dxa"/>
            <w:tcBorders>
              <w:top w:val="nil"/>
              <w:left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291,151,646</w:t>
            </w:r>
          </w:p>
        </w:tc>
        <w:tc>
          <w:tcPr>
            <w:tcW w:w="102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56%</w:t>
            </w:r>
          </w:p>
        </w:tc>
        <w:tc>
          <w:tcPr>
            <w:tcW w:w="1453"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131,732,381</w:t>
            </w:r>
          </w:p>
        </w:tc>
        <w:tc>
          <w:tcPr>
            <w:tcW w:w="1078" w:type="dxa"/>
            <w:tcBorders>
              <w:top w:val="nil"/>
              <w:left w:val="single" w:sz="4" w:space="0" w:color="auto"/>
              <w:bottom w:val="nil"/>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4%</w:t>
            </w:r>
          </w:p>
        </w:tc>
        <w:tc>
          <w:tcPr>
            <w:tcW w:w="1359" w:type="dxa"/>
            <w:tcBorders>
              <w:top w:val="nil"/>
              <w:left w:val="single" w:sz="4"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73,272,091</w:t>
            </w:r>
          </w:p>
        </w:tc>
        <w:tc>
          <w:tcPr>
            <w:tcW w:w="1359" w:type="dxa"/>
            <w:tcBorders>
              <w:top w:val="nil"/>
              <w:left w:val="single" w:sz="4" w:space="0" w:color="auto"/>
              <w:bottom w:val="nil"/>
              <w:right w:val="nil"/>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13%</w:t>
            </w:r>
          </w:p>
        </w:tc>
        <w:tc>
          <w:tcPr>
            <w:tcW w:w="1453" w:type="dxa"/>
            <w:tcBorders>
              <w:top w:val="nil"/>
              <w:left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496,156,118</w:t>
            </w:r>
          </w:p>
        </w:tc>
        <w:tc>
          <w:tcPr>
            <w:tcW w:w="763" w:type="dxa"/>
            <w:tcBorders>
              <w:top w:val="nil"/>
              <w:left w:val="nil"/>
              <w:bottom w:val="nil"/>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12%</w:t>
            </w:r>
          </w:p>
        </w:tc>
      </w:tr>
      <w:tr w:rsidR="00353ED4" w:rsidRPr="00815FA1">
        <w:trPr>
          <w:trHeight w:val="311"/>
          <w:jc w:val="center"/>
        </w:trPr>
        <w:tc>
          <w:tcPr>
            <w:tcW w:w="1882" w:type="dxa"/>
            <w:tcBorders>
              <w:top w:val="nil"/>
              <w:left w:val="single" w:sz="8" w:space="0" w:color="auto"/>
              <w:bottom w:val="single" w:sz="8" w:space="0" w:color="auto"/>
              <w:right w:val="single" w:sz="8" w:space="0" w:color="auto"/>
            </w:tcBorders>
            <w:shd w:val="clear" w:color="000000" w:fill="DBE5F1"/>
            <w:vAlign w:val="center"/>
          </w:tcPr>
          <w:p w:rsidR="00353ED4" w:rsidRPr="00815FA1" w:rsidRDefault="00353ED4" w:rsidP="00E5146F">
            <w:pPr>
              <w:spacing w:after="0" w:line="240" w:lineRule="auto"/>
              <w:rPr>
                <w:b/>
                <w:color w:val="000000"/>
                <w:sz w:val="21"/>
              </w:rPr>
            </w:pPr>
            <w:r w:rsidRPr="00815FA1">
              <w:rPr>
                <w:b/>
                <w:color w:val="000000"/>
                <w:sz w:val="21"/>
              </w:rPr>
              <w:t>Regional Government</w:t>
            </w:r>
          </w:p>
        </w:tc>
        <w:tc>
          <w:tcPr>
            <w:tcW w:w="1287" w:type="dxa"/>
            <w:tcBorders>
              <w:top w:val="nil"/>
              <w:left w:val="nil"/>
              <w:bottom w:val="single" w:sz="8"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6,907,480</w:t>
            </w:r>
          </w:p>
        </w:tc>
        <w:tc>
          <w:tcPr>
            <w:tcW w:w="1028" w:type="dxa"/>
            <w:tcBorders>
              <w:top w:val="nil"/>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1%</w:t>
            </w:r>
          </w:p>
        </w:tc>
        <w:tc>
          <w:tcPr>
            <w:tcW w:w="1453" w:type="dxa"/>
            <w:tcBorders>
              <w:top w:val="nil"/>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249,964,730</w:t>
            </w:r>
          </w:p>
        </w:tc>
        <w:tc>
          <w:tcPr>
            <w:tcW w:w="1078" w:type="dxa"/>
            <w:tcBorders>
              <w:top w:val="nil"/>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8%</w:t>
            </w:r>
          </w:p>
        </w:tc>
        <w:tc>
          <w:tcPr>
            <w:tcW w:w="1359" w:type="dxa"/>
            <w:tcBorders>
              <w:top w:val="nil"/>
              <w:left w:val="single" w:sz="4" w:space="0" w:color="auto"/>
              <w:bottom w:val="single" w:sz="8" w:space="0" w:color="auto"/>
              <w:right w:val="single" w:sz="4"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0</w:t>
            </w:r>
          </w:p>
        </w:tc>
        <w:tc>
          <w:tcPr>
            <w:tcW w:w="1359" w:type="dxa"/>
            <w:tcBorders>
              <w:top w:val="nil"/>
              <w:left w:val="single" w:sz="4" w:space="0" w:color="auto"/>
              <w:bottom w:val="single" w:sz="8" w:space="0" w:color="auto"/>
              <w:right w:val="nil"/>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0%</w:t>
            </w:r>
          </w:p>
        </w:tc>
        <w:tc>
          <w:tcPr>
            <w:tcW w:w="1453" w:type="dxa"/>
            <w:tcBorders>
              <w:top w:val="nil"/>
              <w:left w:val="single" w:sz="8" w:space="0" w:color="auto"/>
              <w:bottom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256,872,210</w:t>
            </w:r>
          </w:p>
        </w:tc>
        <w:tc>
          <w:tcPr>
            <w:tcW w:w="763" w:type="dxa"/>
            <w:tcBorders>
              <w:top w:val="nil"/>
              <w:left w:val="nil"/>
              <w:bottom w:val="single" w:sz="8" w:space="0" w:color="auto"/>
              <w:right w:val="single" w:sz="8" w:space="0" w:color="auto"/>
            </w:tcBorders>
            <w:noWrap/>
            <w:vAlign w:val="center"/>
          </w:tcPr>
          <w:p w:rsidR="00353ED4" w:rsidRPr="00815FA1" w:rsidRDefault="00353ED4" w:rsidP="00E5146F">
            <w:pPr>
              <w:spacing w:after="0" w:line="240" w:lineRule="auto"/>
              <w:jc w:val="center"/>
              <w:rPr>
                <w:color w:val="000000"/>
                <w:sz w:val="21"/>
              </w:rPr>
            </w:pPr>
            <w:r w:rsidRPr="00815FA1">
              <w:rPr>
                <w:color w:val="000000"/>
                <w:sz w:val="21"/>
              </w:rPr>
              <w:t>6%</w:t>
            </w:r>
          </w:p>
        </w:tc>
      </w:tr>
    </w:tbl>
    <w:p w:rsidR="00353ED4" w:rsidRPr="00D312FB" w:rsidRDefault="00353ED4" w:rsidP="00E5146F">
      <w:pPr>
        <w:rPr>
          <w:sz w:val="22"/>
        </w:rPr>
      </w:pPr>
      <w:r w:rsidRPr="00D312FB">
        <w:rPr>
          <w:sz w:val="22"/>
        </w:rPr>
        <w:t>Source: SIAF</w:t>
      </w:r>
    </w:p>
    <w:p w:rsidR="00353ED4" w:rsidRPr="00D312FB" w:rsidRDefault="00353ED4" w:rsidP="00E5146F">
      <w:pPr>
        <w:jc w:val="both"/>
        <w:rPr>
          <w:sz w:val="22"/>
        </w:rPr>
      </w:pPr>
      <w:r w:rsidRPr="00D312FB">
        <w:rPr>
          <w:sz w:val="22"/>
        </w:rPr>
        <w:t>In the case of OPDs, SIS takes the bigger part, 87%, which means that around 7% of</w:t>
      </w:r>
      <w:r>
        <w:rPr>
          <w:sz w:val="22"/>
        </w:rPr>
        <w:t xml:space="preserve"> the</w:t>
      </w:r>
      <w:r w:rsidRPr="00D312FB">
        <w:rPr>
          <w:sz w:val="22"/>
        </w:rPr>
        <w:t xml:space="preserve"> total health expenditure goes to SIS. This proportion, given the objectives of SIS and its broad coverage, is still low and should be at least 10% in order to secure enough financing to all SIS insured.</w:t>
      </w:r>
    </w:p>
    <w:p w:rsidR="00353ED4" w:rsidRPr="00815FA1" w:rsidRDefault="00353ED4" w:rsidP="00DE45FE">
      <w:pPr>
        <w:pStyle w:val="Ttulo2"/>
        <w:numPr>
          <w:ilvl w:val="0"/>
          <w:numId w:val="20"/>
        </w:numPr>
        <w:rPr>
          <w:rStyle w:val="apple-style-span"/>
        </w:rPr>
      </w:pPr>
      <w:bookmarkStart w:id="60" w:name="_Toc254270036"/>
      <w:r w:rsidRPr="00815FA1">
        <w:rPr>
          <w:rStyle w:val="apple-style-span"/>
        </w:rPr>
        <w:t>Tables of Health Services Financing</w:t>
      </w:r>
      <w:bookmarkEnd w:id="60"/>
      <w:r w:rsidRPr="00815FA1">
        <w:rPr>
          <w:rStyle w:val="apple-style-span"/>
        </w:rPr>
        <w:t xml:space="preserve"> </w:t>
      </w:r>
    </w:p>
    <w:p w:rsidR="00353ED4" w:rsidRPr="00863203" w:rsidRDefault="00353ED4" w:rsidP="009C294A">
      <w:pPr>
        <w:jc w:val="both"/>
        <w:rPr>
          <w:sz w:val="22"/>
        </w:rPr>
      </w:pPr>
      <w:r w:rsidRPr="00863203">
        <w:rPr>
          <w:sz w:val="22"/>
        </w:rPr>
        <w:t>Table 26 shows the health assistance financing structure for the period</w:t>
      </w:r>
      <w:r>
        <w:rPr>
          <w:sz w:val="22"/>
        </w:rPr>
        <w:t xml:space="preserve"> 1995-2005</w:t>
      </w:r>
      <w:r w:rsidRPr="00863203">
        <w:rPr>
          <w:sz w:val="22"/>
        </w:rPr>
        <w:t>. Households continue to represent the principal source of financing health services. Nevertheless, along the period, the financing made by the Government with the public treasury resources shows an important increase (from 25</w:t>
      </w:r>
      <w:r>
        <w:rPr>
          <w:sz w:val="22"/>
        </w:rPr>
        <w:t>.2% to 30.</w:t>
      </w:r>
      <w:r w:rsidRPr="00863203">
        <w:rPr>
          <w:sz w:val="22"/>
        </w:rPr>
        <w:t>7%).  Meanwhile, the households financ</w:t>
      </w:r>
      <w:r>
        <w:rPr>
          <w:sz w:val="22"/>
        </w:rPr>
        <w:t>ing share had decreased from 45.8% to 34.</w:t>
      </w:r>
      <w:r w:rsidRPr="00863203">
        <w:rPr>
          <w:sz w:val="22"/>
        </w:rPr>
        <w:t>2%. In the last years, this effect could be related to the SIS program.</w:t>
      </w:r>
    </w:p>
    <w:p w:rsidR="00353ED4" w:rsidRPr="00815FA1" w:rsidRDefault="00353ED4" w:rsidP="009C294A">
      <w:pPr>
        <w:pStyle w:val="Epgrafe"/>
        <w:jc w:val="center"/>
        <w:rPr>
          <w:color w:val="auto"/>
          <w:sz w:val="22"/>
        </w:rPr>
      </w:pPr>
      <w:bookmarkStart w:id="61" w:name="_Ref246861503"/>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26</w:t>
      </w:r>
      <w:r w:rsidRPr="00815FA1">
        <w:rPr>
          <w:color w:val="auto"/>
          <w:sz w:val="22"/>
        </w:rPr>
        <w:fldChar w:fldCharType="end"/>
      </w:r>
      <w:bookmarkEnd w:id="61"/>
      <w:r w:rsidRPr="00815FA1">
        <w:rPr>
          <w:color w:val="auto"/>
          <w:sz w:val="22"/>
        </w:rPr>
        <w:t xml:space="preserve">: Health </w:t>
      </w:r>
      <w:r>
        <w:rPr>
          <w:color w:val="auto"/>
          <w:sz w:val="22"/>
        </w:rPr>
        <w:t>a</w:t>
      </w:r>
      <w:r w:rsidRPr="00815FA1">
        <w:rPr>
          <w:color w:val="auto"/>
          <w:sz w:val="22"/>
        </w:rPr>
        <w:t xml:space="preserve">ssistance </w:t>
      </w:r>
      <w:r>
        <w:rPr>
          <w:color w:val="auto"/>
          <w:sz w:val="22"/>
        </w:rPr>
        <w:t>f</w:t>
      </w:r>
      <w:r w:rsidRPr="00815FA1">
        <w:rPr>
          <w:color w:val="auto"/>
          <w:sz w:val="22"/>
        </w:rPr>
        <w:t xml:space="preserve">inancing </w:t>
      </w:r>
      <w:r>
        <w:rPr>
          <w:color w:val="auto"/>
          <w:sz w:val="22"/>
        </w:rPr>
        <w:t>s</w:t>
      </w:r>
      <w:r w:rsidRPr="00815FA1">
        <w:rPr>
          <w:color w:val="auto"/>
          <w:sz w:val="22"/>
        </w:rPr>
        <w:t xml:space="preserve">tructure, 1995-2005 (Percentages) </w:t>
      </w:r>
    </w:p>
    <w:tbl>
      <w:tblPr>
        <w:tblW w:w="9526" w:type="dxa"/>
        <w:jc w:val="center"/>
        <w:tblCellMar>
          <w:left w:w="70" w:type="dxa"/>
          <w:right w:w="70" w:type="dxa"/>
        </w:tblCellMar>
        <w:tblLook w:val="00A0" w:firstRow="1" w:lastRow="0" w:firstColumn="1" w:lastColumn="0" w:noHBand="0" w:noVBand="0"/>
      </w:tblPr>
      <w:tblGrid>
        <w:gridCol w:w="1816"/>
        <w:gridCol w:w="771"/>
        <w:gridCol w:w="771"/>
        <w:gridCol w:w="771"/>
        <w:gridCol w:w="771"/>
        <w:gridCol w:w="771"/>
        <w:gridCol w:w="771"/>
        <w:gridCol w:w="771"/>
        <w:gridCol w:w="771"/>
        <w:gridCol w:w="771"/>
        <w:gridCol w:w="771"/>
      </w:tblGrid>
      <w:tr w:rsidR="00353ED4" w:rsidRPr="00815FA1">
        <w:trPr>
          <w:trHeight w:val="331"/>
          <w:jc w:val="center"/>
        </w:trPr>
        <w:tc>
          <w:tcPr>
            <w:tcW w:w="1816" w:type="dxa"/>
            <w:tcBorders>
              <w:top w:val="single" w:sz="8" w:space="0" w:color="auto"/>
              <w:left w:val="single" w:sz="8" w:space="0" w:color="auto"/>
              <w:bottom w:val="single" w:sz="8" w:space="0" w:color="auto"/>
              <w:right w:val="single" w:sz="8" w:space="0" w:color="auto"/>
            </w:tcBorders>
            <w:shd w:val="clear" w:color="auto" w:fill="31849B"/>
            <w:noWrap/>
            <w:vAlign w:val="bottom"/>
          </w:tcPr>
          <w:p w:rsidR="00353ED4" w:rsidRPr="00815FA1" w:rsidRDefault="00353ED4" w:rsidP="00DD6239">
            <w:pPr>
              <w:spacing w:after="0" w:line="240" w:lineRule="auto"/>
              <w:rPr>
                <w:b/>
                <w:bCs/>
                <w:color w:val="000000"/>
                <w:lang w:eastAsia="zh-CN"/>
              </w:rPr>
            </w:pPr>
            <w:r w:rsidRPr="00815FA1">
              <w:rPr>
                <w:b/>
                <w:bCs/>
                <w:color w:val="000000"/>
                <w:lang w:eastAsia="zh-CN"/>
              </w:rPr>
              <w:t>Agents</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1995</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1996</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1997</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1998</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1999</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2000</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2002</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2003</w:t>
            </w:r>
          </w:p>
        </w:tc>
        <w:tc>
          <w:tcPr>
            <w:tcW w:w="771" w:type="dxa"/>
            <w:tcBorders>
              <w:top w:val="single" w:sz="8" w:space="0" w:color="auto"/>
              <w:left w:val="nil"/>
              <w:bottom w:val="single" w:sz="8" w:space="0" w:color="auto"/>
              <w:right w:val="nil"/>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2004</w:t>
            </w:r>
          </w:p>
        </w:tc>
        <w:tc>
          <w:tcPr>
            <w:tcW w:w="771" w:type="dxa"/>
            <w:tcBorders>
              <w:top w:val="single" w:sz="8" w:space="0" w:color="auto"/>
              <w:left w:val="nil"/>
              <w:bottom w:val="single" w:sz="8" w:space="0" w:color="auto"/>
              <w:right w:val="single" w:sz="8" w:space="0" w:color="auto"/>
            </w:tcBorders>
            <w:shd w:val="clear" w:color="auto" w:fill="31849B"/>
            <w:noWrap/>
            <w:vAlign w:val="bottom"/>
          </w:tcPr>
          <w:p w:rsidR="00353ED4" w:rsidRPr="00815FA1" w:rsidRDefault="00353ED4" w:rsidP="00DD6239">
            <w:pPr>
              <w:spacing w:after="0" w:line="240" w:lineRule="auto"/>
              <w:jc w:val="center"/>
              <w:rPr>
                <w:b/>
                <w:bCs/>
                <w:color w:val="000000"/>
                <w:lang w:eastAsia="zh-CN"/>
              </w:rPr>
            </w:pPr>
            <w:r w:rsidRPr="00815FA1">
              <w:rPr>
                <w:b/>
                <w:bCs/>
                <w:color w:val="000000"/>
                <w:lang w:eastAsia="zh-CN"/>
              </w:rPr>
              <w:t>2005</w:t>
            </w:r>
          </w:p>
        </w:tc>
      </w:tr>
      <w:tr w:rsidR="00353ED4" w:rsidRPr="00815FA1">
        <w:trPr>
          <w:trHeight w:val="315"/>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Government</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25.2</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23.1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24.3</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24.3</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24.1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28.9</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30.7</w:t>
            </w:r>
          </w:p>
        </w:tc>
      </w:tr>
      <w:tr w:rsidR="00353ED4" w:rsidRPr="00815FA1">
        <w:trPr>
          <w:trHeight w:val="315"/>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External Aid Workers</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1.4</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1.2</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1.2</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1.3</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0.9</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2.1</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w:t>
            </w:r>
          </w:p>
        </w:tc>
      </w:tr>
      <w:tr w:rsidR="00353ED4" w:rsidRPr="00815FA1">
        <w:trPr>
          <w:trHeight w:val="331"/>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Internal donations</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0.6</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0.8</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0.7</w:t>
            </w:r>
          </w:p>
        </w:tc>
      </w:tr>
      <w:tr w:rsidR="00353ED4" w:rsidRPr="00815FA1">
        <w:trPr>
          <w:trHeight w:val="315"/>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Households</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45.80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39.90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40.10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37.70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38.50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37.90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38.40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35.90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35.50</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34.20</w:t>
            </w:r>
          </w:p>
        </w:tc>
      </w:tr>
      <w:tr w:rsidR="00353ED4" w:rsidRPr="00815FA1">
        <w:trPr>
          <w:trHeight w:val="315"/>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Employers</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25.60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29.70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32.40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31.80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32.40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35.00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30.90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31.80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30.90</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30.50</w:t>
            </w:r>
          </w:p>
        </w:tc>
      </w:tr>
      <w:tr w:rsidR="00353ED4" w:rsidRPr="00815FA1">
        <w:trPr>
          <w:trHeight w:val="331"/>
          <w:jc w:val="center"/>
        </w:trPr>
        <w:tc>
          <w:tcPr>
            <w:tcW w:w="1816" w:type="dxa"/>
            <w:tcBorders>
              <w:top w:val="nil"/>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Others</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1.30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4.30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0.90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0.80</w:t>
            </w:r>
          </w:p>
        </w:tc>
        <w:tc>
          <w:tcPr>
            <w:tcW w:w="771" w:type="dxa"/>
            <w:tcBorders>
              <w:top w:val="nil"/>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1.10</w:t>
            </w:r>
          </w:p>
        </w:tc>
        <w:tc>
          <w:tcPr>
            <w:tcW w:w="771" w:type="dxa"/>
            <w:tcBorders>
              <w:top w:val="nil"/>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1.30</w:t>
            </w:r>
          </w:p>
        </w:tc>
      </w:tr>
      <w:tr w:rsidR="00353ED4" w:rsidRPr="00815FA1">
        <w:trPr>
          <w:trHeight w:val="331"/>
          <w:jc w:val="center"/>
        </w:trPr>
        <w:tc>
          <w:tcPr>
            <w:tcW w:w="1816" w:type="dxa"/>
            <w:tcBorders>
              <w:top w:val="single" w:sz="8" w:space="0" w:color="FFFFFF"/>
              <w:left w:val="single" w:sz="8" w:space="0" w:color="auto"/>
              <w:bottom w:val="nil"/>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Total</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c>
          <w:tcPr>
            <w:tcW w:w="771" w:type="dxa"/>
            <w:tcBorders>
              <w:top w:val="single" w:sz="8" w:space="0" w:color="FFFFFF"/>
              <w:left w:val="nil"/>
              <w:bottom w:val="nil"/>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100.0</w:t>
            </w:r>
          </w:p>
        </w:tc>
      </w:tr>
      <w:tr w:rsidR="00353ED4" w:rsidRPr="00815FA1">
        <w:trPr>
          <w:trHeight w:val="331"/>
          <w:jc w:val="center"/>
        </w:trPr>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Total Millions of Nuevos Soles</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5,917</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6,799</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7,803</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8,444</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8,851</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10,122</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10,332</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11,243</w:t>
            </w:r>
          </w:p>
        </w:tc>
        <w:tc>
          <w:tcPr>
            <w:tcW w:w="771" w:type="dxa"/>
            <w:tcBorders>
              <w:top w:val="single" w:sz="8" w:space="0" w:color="auto"/>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12,195</w:t>
            </w:r>
          </w:p>
        </w:tc>
        <w:tc>
          <w:tcPr>
            <w:tcW w:w="771" w:type="dxa"/>
            <w:tcBorders>
              <w:top w:val="single" w:sz="8" w:space="0" w:color="auto"/>
              <w:left w:val="nil"/>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12,195</w:t>
            </w:r>
          </w:p>
        </w:tc>
      </w:tr>
      <w:tr w:rsidR="00353ED4" w:rsidRPr="00815FA1">
        <w:trPr>
          <w:trHeight w:val="331"/>
          <w:jc w:val="center"/>
        </w:trPr>
        <w:tc>
          <w:tcPr>
            <w:tcW w:w="1816" w:type="dxa"/>
            <w:tcBorders>
              <w:top w:val="nil"/>
              <w:left w:val="single" w:sz="8" w:space="0" w:color="auto"/>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Total Millions of Nuevos Soles of 1995</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5,917</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5,992</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6,096</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6,070</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5,800</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5,720</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5,619</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5,973</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6,371</w:t>
            </w:r>
          </w:p>
        </w:tc>
        <w:tc>
          <w:tcPr>
            <w:tcW w:w="771" w:type="dxa"/>
            <w:tcBorders>
              <w:top w:val="nil"/>
              <w:left w:val="nil"/>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6,371</w:t>
            </w:r>
          </w:p>
        </w:tc>
      </w:tr>
      <w:tr w:rsidR="00353ED4" w:rsidRPr="00815FA1">
        <w:trPr>
          <w:trHeight w:val="331"/>
          <w:jc w:val="center"/>
        </w:trPr>
        <w:tc>
          <w:tcPr>
            <w:tcW w:w="1816" w:type="dxa"/>
            <w:tcBorders>
              <w:top w:val="nil"/>
              <w:left w:val="single" w:sz="8" w:space="0" w:color="auto"/>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rPr>
                <w:color w:val="000000"/>
                <w:lang w:eastAsia="zh-CN"/>
              </w:rPr>
            </w:pPr>
            <w:r w:rsidRPr="00815FA1">
              <w:rPr>
                <w:color w:val="000000"/>
                <w:lang w:eastAsia="zh-CN"/>
              </w:rPr>
              <w:t>Total Millions of  American Dollars</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2,627</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2,776</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2,933</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2,886</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2,618</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2,885</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2,977</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3,301</w:t>
            </w:r>
          </w:p>
        </w:tc>
        <w:tc>
          <w:tcPr>
            <w:tcW w:w="771" w:type="dxa"/>
            <w:tcBorders>
              <w:top w:val="nil"/>
              <w:left w:val="nil"/>
              <w:bottom w:val="single" w:sz="8" w:space="0" w:color="auto"/>
              <w:right w:val="nil"/>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3,708</w:t>
            </w:r>
          </w:p>
        </w:tc>
        <w:tc>
          <w:tcPr>
            <w:tcW w:w="771" w:type="dxa"/>
            <w:tcBorders>
              <w:top w:val="nil"/>
              <w:left w:val="nil"/>
              <w:bottom w:val="single" w:sz="8" w:space="0" w:color="auto"/>
              <w:right w:val="single" w:sz="8" w:space="0" w:color="auto"/>
            </w:tcBorders>
            <w:shd w:val="clear" w:color="000000" w:fill="FFFFFF"/>
            <w:noWrap/>
            <w:vAlign w:val="bottom"/>
          </w:tcPr>
          <w:p w:rsidR="00353ED4" w:rsidRPr="00815FA1" w:rsidRDefault="00353ED4" w:rsidP="00DD6239">
            <w:pPr>
              <w:spacing w:after="0" w:line="240" w:lineRule="auto"/>
              <w:jc w:val="center"/>
              <w:rPr>
                <w:color w:val="000000"/>
                <w:lang w:eastAsia="zh-CN"/>
              </w:rPr>
            </w:pPr>
            <w:r w:rsidRPr="00815FA1">
              <w:rPr>
                <w:color w:val="000000"/>
                <w:lang w:eastAsia="zh-CN"/>
              </w:rPr>
              <w:t>3,708</w:t>
            </w:r>
          </w:p>
        </w:tc>
      </w:tr>
    </w:tbl>
    <w:p w:rsidR="00353ED4" w:rsidRPr="00815FA1" w:rsidRDefault="00353ED4" w:rsidP="00DE45FE">
      <w:pPr>
        <w:pStyle w:val="Epgrafe"/>
        <w:spacing w:after="0"/>
        <w:rPr>
          <w:b w:val="0"/>
          <w:color w:val="auto"/>
          <w:sz w:val="22"/>
        </w:rPr>
      </w:pPr>
      <w:r w:rsidRPr="00815FA1">
        <w:rPr>
          <w:b w:val="0"/>
          <w:color w:val="auto"/>
          <w:sz w:val="22"/>
        </w:rPr>
        <w:t xml:space="preserve"> Source: MINSA/CIES, 2008</w:t>
      </w:r>
    </w:p>
    <w:p w:rsidR="00353ED4" w:rsidRPr="00815FA1" w:rsidRDefault="00353ED4" w:rsidP="009C294A">
      <w:pPr>
        <w:jc w:val="both"/>
        <w:rPr>
          <w:sz w:val="22"/>
          <w:szCs w:val="22"/>
        </w:rPr>
      </w:pPr>
      <w:r w:rsidRPr="00815FA1">
        <w:rPr>
          <w:sz w:val="22"/>
          <w:szCs w:val="22"/>
        </w:rPr>
        <w:t>Now, about the households’ expenses, 45% is made in the purchase of medicine bought in a direct way, in pharmacies and drugstores. The important expenditure in medicine stands out, because the households don’t only acquired them in pharmacies and drugstores, but also within the public and private services, so the total expense in medicine, according to ENAHO 2008, reaches the 82% of ho</w:t>
      </w:r>
      <w:r>
        <w:rPr>
          <w:sz w:val="22"/>
          <w:szCs w:val="22"/>
        </w:rPr>
        <w:t>u</w:t>
      </w:r>
      <w:r w:rsidRPr="00815FA1">
        <w:rPr>
          <w:sz w:val="22"/>
          <w:szCs w:val="22"/>
        </w:rPr>
        <w:t xml:space="preserve">sehold health expenditures. Just the 5% of the expenditure is assigned to several modes of </w:t>
      </w:r>
      <w:r>
        <w:rPr>
          <w:sz w:val="22"/>
          <w:szCs w:val="22"/>
        </w:rPr>
        <w:t>insurance</w:t>
      </w:r>
      <w:r w:rsidRPr="00815FA1">
        <w:rPr>
          <w:sz w:val="22"/>
          <w:szCs w:val="22"/>
        </w:rPr>
        <w:t xml:space="preserve"> in health (Table 2</w:t>
      </w:r>
      <w:r>
        <w:rPr>
          <w:sz w:val="22"/>
          <w:szCs w:val="22"/>
        </w:rPr>
        <w:t>7</w:t>
      </w:r>
      <w:r w:rsidRPr="00815FA1">
        <w:rPr>
          <w:sz w:val="22"/>
          <w:szCs w:val="22"/>
        </w:rPr>
        <w:t>).</w:t>
      </w:r>
    </w:p>
    <w:p w:rsidR="00353ED4" w:rsidRDefault="00353ED4" w:rsidP="003C3410">
      <w:pPr>
        <w:jc w:val="center"/>
        <w:rPr>
          <w:b/>
          <w:sz w:val="22"/>
        </w:rPr>
      </w:pPr>
    </w:p>
    <w:p w:rsidR="00353ED4" w:rsidRPr="00815FA1" w:rsidRDefault="00353ED4" w:rsidP="009C294A">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27</w:t>
      </w:r>
      <w:r w:rsidRPr="00815FA1">
        <w:rPr>
          <w:b/>
          <w:sz w:val="22"/>
        </w:rPr>
        <w:fldChar w:fldCharType="end"/>
      </w:r>
      <w:r w:rsidRPr="00815FA1">
        <w:rPr>
          <w:b/>
          <w:sz w:val="22"/>
        </w:rPr>
        <w:t xml:space="preserve">: Destiny of </w:t>
      </w:r>
      <w:r>
        <w:rPr>
          <w:b/>
          <w:sz w:val="22"/>
        </w:rPr>
        <w:t>h</w:t>
      </w:r>
      <w:r w:rsidRPr="00815FA1">
        <w:rPr>
          <w:b/>
          <w:sz w:val="22"/>
        </w:rPr>
        <w:t xml:space="preserve">ousehold </w:t>
      </w:r>
      <w:r>
        <w:rPr>
          <w:b/>
          <w:sz w:val="22"/>
        </w:rPr>
        <w:t>f</w:t>
      </w:r>
      <w:r w:rsidRPr="00815FA1">
        <w:rPr>
          <w:b/>
          <w:sz w:val="22"/>
        </w:rPr>
        <w:t>unding, 2005 (in percentages)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1440"/>
      </w:tblGrid>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Directly in pharmacies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45,1</w:t>
            </w:r>
          </w:p>
        </w:tc>
      </w:tr>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Private suppliers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37,9</w:t>
            </w:r>
          </w:p>
        </w:tc>
      </w:tr>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Public suppliers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12,0</w:t>
            </w:r>
          </w:p>
        </w:tc>
      </w:tr>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Acquisition of private insurances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2,1</w:t>
            </w:r>
          </w:p>
        </w:tc>
      </w:tr>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EPS (private suppliers)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1,9</w:t>
            </w:r>
          </w:p>
        </w:tc>
      </w:tr>
      <w:tr w:rsidR="00353ED4" w:rsidRPr="00815FA1">
        <w:trPr>
          <w:jc w:val="center"/>
        </w:trPr>
        <w:tc>
          <w:tcPr>
            <w:tcW w:w="4750" w:type="dxa"/>
          </w:tcPr>
          <w:p w:rsidR="00353ED4" w:rsidRPr="00815FA1" w:rsidRDefault="00353ED4" w:rsidP="003C3410">
            <w:pPr>
              <w:spacing w:before="0" w:after="0" w:line="240" w:lineRule="auto"/>
              <w:rPr>
                <w:sz w:val="22"/>
                <w:szCs w:val="22"/>
              </w:rPr>
            </w:pPr>
            <w:r w:rsidRPr="00815FA1">
              <w:rPr>
                <w:sz w:val="22"/>
                <w:szCs w:val="22"/>
              </w:rPr>
              <w:t>Esalud contributions</w:t>
            </w:r>
          </w:p>
        </w:tc>
        <w:tc>
          <w:tcPr>
            <w:tcW w:w="1440" w:type="dxa"/>
          </w:tcPr>
          <w:p w:rsidR="00353ED4" w:rsidRPr="00815FA1" w:rsidRDefault="00353ED4" w:rsidP="003C3410">
            <w:pPr>
              <w:spacing w:before="0" w:after="0" w:line="240" w:lineRule="auto"/>
              <w:jc w:val="center"/>
              <w:rPr>
                <w:sz w:val="22"/>
                <w:szCs w:val="22"/>
              </w:rPr>
            </w:pPr>
            <w:r w:rsidRPr="00815FA1">
              <w:rPr>
                <w:sz w:val="22"/>
                <w:szCs w:val="22"/>
              </w:rPr>
              <w:t>1,0</w:t>
            </w:r>
          </w:p>
        </w:tc>
      </w:tr>
      <w:tr w:rsidR="00353ED4" w:rsidRPr="00815FA1">
        <w:trPr>
          <w:trHeight w:val="73"/>
          <w:jc w:val="center"/>
        </w:trPr>
        <w:tc>
          <w:tcPr>
            <w:tcW w:w="4750" w:type="dxa"/>
            <w:shd w:val="clear" w:color="auto" w:fill="B6DDE8"/>
          </w:tcPr>
          <w:p w:rsidR="00353ED4" w:rsidRPr="00815FA1" w:rsidRDefault="00353ED4" w:rsidP="003C3410">
            <w:pPr>
              <w:spacing w:before="0" w:after="0" w:line="240" w:lineRule="auto"/>
              <w:rPr>
                <w:b/>
                <w:bCs/>
                <w:sz w:val="22"/>
                <w:szCs w:val="22"/>
              </w:rPr>
            </w:pPr>
            <w:r w:rsidRPr="00815FA1">
              <w:rPr>
                <w:b/>
                <w:bCs/>
                <w:sz w:val="22"/>
                <w:szCs w:val="22"/>
              </w:rPr>
              <w:t>Total</w:t>
            </w:r>
          </w:p>
        </w:tc>
        <w:tc>
          <w:tcPr>
            <w:tcW w:w="1440" w:type="dxa"/>
            <w:shd w:val="clear" w:color="auto" w:fill="B6DDE8"/>
          </w:tcPr>
          <w:p w:rsidR="00353ED4" w:rsidRPr="00815FA1" w:rsidRDefault="00353ED4" w:rsidP="003C3410">
            <w:pPr>
              <w:spacing w:before="0" w:after="0" w:line="240" w:lineRule="auto"/>
              <w:jc w:val="center"/>
              <w:rPr>
                <w:b/>
                <w:bCs/>
                <w:sz w:val="22"/>
                <w:szCs w:val="22"/>
              </w:rPr>
            </w:pPr>
            <w:r w:rsidRPr="00815FA1">
              <w:rPr>
                <w:b/>
                <w:bCs/>
                <w:sz w:val="22"/>
                <w:szCs w:val="22"/>
              </w:rPr>
              <w:t>100%</w:t>
            </w:r>
          </w:p>
        </w:tc>
      </w:tr>
      <w:tr w:rsidR="00353ED4" w:rsidRPr="00815FA1">
        <w:trPr>
          <w:jc w:val="center"/>
        </w:trPr>
        <w:tc>
          <w:tcPr>
            <w:tcW w:w="4750" w:type="dxa"/>
            <w:shd w:val="clear" w:color="auto" w:fill="B6DDE8"/>
          </w:tcPr>
          <w:p w:rsidR="00353ED4" w:rsidRPr="00815FA1" w:rsidRDefault="00353ED4" w:rsidP="003C3410">
            <w:pPr>
              <w:spacing w:before="0" w:after="0" w:line="240" w:lineRule="auto"/>
              <w:rPr>
                <w:b/>
                <w:bCs/>
                <w:sz w:val="22"/>
                <w:szCs w:val="22"/>
              </w:rPr>
            </w:pPr>
            <w:r w:rsidRPr="00815FA1">
              <w:rPr>
                <w:b/>
                <w:bCs/>
                <w:sz w:val="22"/>
                <w:szCs w:val="22"/>
              </w:rPr>
              <w:t>Total (millions of Nuevos Soles)</w:t>
            </w:r>
          </w:p>
        </w:tc>
        <w:tc>
          <w:tcPr>
            <w:tcW w:w="1440" w:type="dxa"/>
            <w:shd w:val="clear" w:color="auto" w:fill="B6DDE8"/>
          </w:tcPr>
          <w:p w:rsidR="00353ED4" w:rsidRPr="00815FA1" w:rsidRDefault="00353ED4" w:rsidP="003C3410">
            <w:pPr>
              <w:spacing w:before="0" w:after="0" w:line="240" w:lineRule="auto"/>
              <w:jc w:val="center"/>
              <w:rPr>
                <w:b/>
                <w:bCs/>
                <w:sz w:val="22"/>
                <w:szCs w:val="22"/>
              </w:rPr>
            </w:pPr>
            <w:r w:rsidRPr="00815FA1">
              <w:rPr>
                <w:b/>
                <w:bCs/>
                <w:sz w:val="22"/>
                <w:szCs w:val="22"/>
              </w:rPr>
              <w:t>3430</w:t>
            </w:r>
          </w:p>
        </w:tc>
      </w:tr>
      <w:tr w:rsidR="00353ED4" w:rsidRPr="00815FA1">
        <w:trPr>
          <w:jc w:val="center"/>
        </w:trPr>
        <w:tc>
          <w:tcPr>
            <w:tcW w:w="4750" w:type="dxa"/>
            <w:shd w:val="clear" w:color="auto" w:fill="B6DDE8"/>
          </w:tcPr>
          <w:p w:rsidR="00353ED4" w:rsidRPr="00815FA1" w:rsidRDefault="00353ED4" w:rsidP="003C3410">
            <w:pPr>
              <w:spacing w:before="0" w:after="0" w:line="240" w:lineRule="auto"/>
              <w:rPr>
                <w:b/>
                <w:bCs/>
                <w:sz w:val="22"/>
                <w:szCs w:val="22"/>
              </w:rPr>
            </w:pPr>
            <w:r w:rsidRPr="00815FA1">
              <w:rPr>
                <w:b/>
                <w:bCs/>
                <w:sz w:val="22"/>
                <w:szCs w:val="22"/>
              </w:rPr>
              <w:t>Total (millons of dollars)</w:t>
            </w:r>
          </w:p>
        </w:tc>
        <w:tc>
          <w:tcPr>
            <w:tcW w:w="1440" w:type="dxa"/>
            <w:shd w:val="clear" w:color="auto" w:fill="B6DDE8"/>
          </w:tcPr>
          <w:p w:rsidR="00353ED4" w:rsidRPr="00815FA1" w:rsidRDefault="00353ED4" w:rsidP="003C3410">
            <w:pPr>
              <w:spacing w:before="0" w:after="0" w:line="240" w:lineRule="auto"/>
              <w:jc w:val="center"/>
              <w:rPr>
                <w:b/>
                <w:bCs/>
                <w:sz w:val="22"/>
                <w:szCs w:val="22"/>
              </w:rPr>
            </w:pPr>
            <w:r w:rsidRPr="00815FA1">
              <w:rPr>
                <w:b/>
                <w:bCs/>
                <w:sz w:val="22"/>
                <w:szCs w:val="22"/>
              </w:rPr>
              <w:t>985</w:t>
            </w:r>
          </w:p>
        </w:tc>
      </w:tr>
    </w:tbl>
    <w:p w:rsidR="00353ED4" w:rsidRPr="00815FA1" w:rsidRDefault="00353ED4" w:rsidP="003C3410">
      <w:pPr>
        <w:ind w:left="708" w:firstLine="708"/>
        <w:rPr>
          <w:sz w:val="22"/>
          <w:szCs w:val="22"/>
        </w:rPr>
      </w:pPr>
      <w:r w:rsidRPr="00815FA1">
        <w:rPr>
          <w:sz w:val="22"/>
          <w:szCs w:val="22"/>
        </w:rPr>
        <w:t>Fuente: MINSA-OPS/OMS Perú</w:t>
      </w:r>
    </w:p>
    <w:p w:rsidR="00353ED4" w:rsidRPr="00CE79D9" w:rsidRDefault="00353ED4" w:rsidP="009C294A">
      <w:pPr>
        <w:jc w:val="both"/>
        <w:rPr>
          <w:sz w:val="22"/>
        </w:rPr>
      </w:pPr>
      <w:r w:rsidRPr="00CE79D9">
        <w:rPr>
          <w:sz w:val="22"/>
        </w:rPr>
        <w:t xml:space="preserve">Table </w:t>
      </w:r>
      <w:r>
        <w:rPr>
          <w:sz w:val="22"/>
        </w:rPr>
        <w:t>28</w:t>
      </w:r>
      <w:r w:rsidRPr="00CE79D9">
        <w:rPr>
          <w:sz w:val="22"/>
        </w:rPr>
        <w:t xml:space="preserve"> shows the sources of spending of the health sector by MINSA. 77% of the expenditure is done with resources assigned from the Public Treasury.  Household expenditure is lower, around 12%. However, these figures do not include private and EsSalud health services expenditure. Thus, Table </w:t>
      </w:r>
      <w:r>
        <w:rPr>
          <w:sz w:val="22"/>
        </w:rPr>
        <w:t>28</w:t>
      </w:r>
      <w:r w:rsidRPr="00CE79D9">
        <w:rPr>
          <w:sz w:val="22"/>
        </w:rPr>
        <w:t xml:space="preserve"> is not comparable with the previous Table </w:t>
      </w:r>
      <w:r>
        <w:rPr>
          <w:sz w:val="22"/>
        </w:rPr>
        <w:t>27.</w:t>
      </w:r>
    </w:p>
    <w:p w:rsidR="00353ED4" w:rsidRPr="00815FA1" w:rsidRDefault="00353ED4" w:rsidP="009C294A">
      <w:pPr>
        <w:pStyle w:val="Epgrafe"/>
        <w:jc w:val="center"/>
        <w:rPr>
          <w:color w:val="auto"/>
          <w:sz w:val="22"/>
        </w:rPr>
      </w:pPr>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28</w:t>
      </w:r>
      <w:r w:rsidRPr="00815FA1">
        <w:rPr>
          <w:color w:val="auto"/>
          <w:sz w:val="22"/>
        </w:rPr>
        <w:fldChar w:fldCharType="end"/>
      </w:r>
      <w:r w:rsidRPr="00815FA1">
        <w:rPr>
          <w:color w:val="auto"/>
          <w:sz w:val="22"/>
        </w:rPr>
        <w:t xml:space="preserve">: Sources of </w:t>
      </w:r>
      <w:r>
        <w:rPr>
          <w:color w:val="auto"/>
          <w:sz w:val="22"/>
        </w:rPr>
        <w:t>s</w:t>
      </w:r>
      <w:r w:rsidRPr="00815FA1">
        <w:rPr>
          <w:color w:val="auto"/>
          <w:sz w:val="22"/>
        </w:rPr>
        <w:t>pending of the Health Sector</w:t>
      </w:r>
    </w:p>
    <w:tbl>
      <w:tblPr>
        <w:tblW w:w="5406" w:type="dxa"/>
        <w:jc w:val="center"/>
        <w:tblCellMar>
          <w:left w:w="70" w:type="dxa"/>
          <w:right w:w="70" w:type="dxa"/>
        </w:tblCellMar>
        <w:tblLook w:val="00A0" w:firstRow="1" w:lastRow="0" w:firstColumn="1" w:lastColumn="0" w:noHBand="0" w:noVBand="0"/>
      </w:tblPr>
      <w:tblGrid>
        <w:gridCol w:w="2640"/>
        <w:gridCol w:w="1426"/>
        <w:gridCol w:w="1340"/>
      </w:tblGrid>
      <w:tr w:rsidR="00353ED4" w:rsidRPr="00815FA1">
        <w:trPr>
          <w:trHeight w:val="300"/>
          <w:jc w:val="center"/>
        </w:trPr>
        <w:tc>
          <w:tcPr>
            <w:tcW w:w="2640" w:type="dxa"/>
            <w:vMerge w:val="restart"/>
            <w:tcBorders>
              <w:top w:val="single" w:sz="8" w:space="0" w:color="auto"/>
              <w:left w:val="single" w:sz="8" w:space="0" w:color="auto"/>
              <w:bottom w:val="single" w:sz="8" w:space="0" w:color="000000"/>
              <w:right w:val="single" w:sz="8" w:space="0" w:color="auto"/>
            </w:tcBorders>
            <w:shd w:val="clear" w:color="auto" w:fill="31849B"/>
            <w:noWrap/>
            <w:vAlign w:val="center"/>
          </w:tcPr>
          <w:p w:rsidR="00353ED4" w:rsidRPr="00815FA1" w:rsidRDefault="00353ED4" w:rsidP="008C27CB">
            <w:pPr>
              <w:spacing w:after="0" w:line="240" w:lineRule="auto"/>
              <w:jc w:val="center"/>
              <w:rPr>
                <w:b/>
                <w:bCs/>
                <w:color w:val="000000"/>
              </w:rPr>
            </w:pPr>
            <w:r w:rsidRPr="00815FA1">
              <w:rPr>
                <w:b/>
                <w:bCs/>
                <w:color w:val="000000"/>
              </w:rPr>
              <w:t>HEALTH</w:t>
            </w:r>
          </w:p>
        </w:tc>
        <w:tc>
          <w:tcPr>
            <w:tcW w:w="1426" w:type="dxa"/>
            <w:vMerge w:val="restart"/>
            <w:tcBorders>
              <w:top w:val="single" w:sz="8" w:space="0" w:color="auto"/>
              <w:left w:val="single" w:sz="8" w:space="0" w:color="auto"/>
              <w:bottom w:val="single" w:sz="8" w:space="0" w:color="000000"/>
              <w:right w:val="nil"/>
            </w:tcBorders>
            <w:shd w:val="clear" w:color="auto" w:fill="31849B"/>
            <w:vAlign w:val="center"/>
          </w:tcPr>
          <w:p w:rsidR="00353ED4" w:rsidRPr="00815FA1" w:rsidRDefault="00353ED4" w:rsidP="008C27CB">
            <w:pPr>
              <w:spacing w:after="0" w:line="240" w:lineRule="auto"/>
              <w:jc w:val="center"/>
              <w:rPr>
                <w:b/>
                <w:bCs/>
                <w:color w:val="000000"/>
              </w:rPr>
            </w:pPr>
            <w:r w:rsidRPr="00815FA1">
              <w:rPr>
                <w:b/>
                <w:bCs/>
                <w:color w:val="000000"/>
              </w:rPr>
              <w:t>Expenditures (amount)</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31849B"/>
            <w:vAlign w:val="center"/>
          </w:tcPr>
          <w:p w:rsidR="00353ED4" w:rsidRPr="00815FA1" w:rsidRDefault="00353ED4" w:rsidP="00CE79D9">
            <w:pPr>
              <w:spacing w:after="0" w:line="240" w:lineRule="auto"/>
              <w:jc w:val="center"/>
              <w:rPr>
                <w:b/>
                <w:bCs/>
                <w:color w:val="000000"/>
              </w:rPr>
            </w:pPr>
            <w:r w:rsidRPr="00815FA1">
              <w:rPr>
                <w:b/>
                <w:bCs/>
                <w:color w:val="000000"/>
              </w:rPr>
              <w:t>Percent of Sector Expenses</w:t>
            </w:r>
          </w:p>
        </w:tc>
      </w:tr>
      <w:tr w:rsidR="00353ED4" w:rsidRPr="00815FA1">
        <w:trPr>
          <w:trHeight w:val="563"/>
          <w:jc w:val="center"/>
        </w:trPr>
        <w:tc>
          <w:tcPr>
            <w:tcW w:w="2640" w:type="dxa"/>
            <w:vMerge/>
            <w:tcBorders>
              <w:top w:val="single" w:sz="8" w:space="0" w:color="auto"/>
              <w:left w:val="single" w:sz="8" w:space="0" w:color="auto"/>
              <w:bottom w:val="single" w:sz="8" w:space="0" w:color="000000"/>
              <w:right w:val="single" w:sz="8" w:space="0" w:color="auto"/>
            </w:tcBorders>
            <w:shd w:val="clear" w:color="auto" w:fill="31849B"/>
            <w:vAlign w:val="center"/>
          </w:tcPr>
          <w:p w:rsidR="00353ED4" w:rsidRPr="00815FA1" w:rsidRDefault="00353ED4" w:rsidP="008C27CB">
            <w:pPr>
              <w:spacing w:after="0" w:line="240" w:lineRule="auto"/>
              <w:rPr>
                <w:b/>
                <w:bCs/>
                <w:color w:val="000000"/>
              </w:rPr>
            </w:pPr>
          </w:p>
        </w:tc>
        <w:tc>
          <w:tcPr>
            <w:tcW w:w="1426" w:type="dxa"/>
            <w:vMerge/>
            <w:tcBorders>
              <w:top w:val="single" w:sz="8" w:space="0" w:color="auto"/>
              <w:left w:val="single" w:sz="8" w:space="0" w:color="auto"/>
              <w:bottom w:val="single" w:sz="8" w:space="0" w:color="000000"/>
              <w:right w:val="nil"/>
            </w:tcBorders>
            <w:shd w:val="clear" w:color="auto" w:fill="31849B"/>
            <w:vAlign w:val="center"/>
          </w:tcPr>
          <w:p w:rsidR="00353ED4" w:rsidRPr="00815FA1" w:rsidRDefault="00353ED4" w:rsidP="008C27CB">
            <w:pPr>
              <w:spacing w:after="0" w:line="240" w:lineRule="auto"/>
              <w:rPr>
                <w:b/>
                <w:bCs/>
                <w:color w:val="000000"/>
              </w:rPr>
            </w:pPr>
          </w:p>
        </w:tc>
        <w:tc>
          <w:tcPr>
            <w:tcW w:w="1340" w:type="dxa"/>
            <w:vMerge/>
            <w:tcBorders>
              <w:top w:val="single" w:sz="8" w:space="0" w:color="auto"/>
              <w:left w:val="single" w:sz="8" w:space="0" w:color="auto"/>
              <w:bottom w:val="single" w:sz="8" w:space="0" w:color="000000"/>
              <w:right w:val="single" w:sz="8" w:space="0" w:color="auto"/>
            </w:tcBorders>
            <w:shd w:val="clear" w:color="auto" w:fill="31849B"/>
            <w:vAlign w:val="center"/>
          </w:tcPr>
          <w:p w:rsidR="00353ED4" w:rsidRPr="00815FA1" w:rsidRDefault="00353ED4" w:rsidP="008C27CB">
            <w:pPr>
              <w:spacing w:after="0" w:line="240" w:lineRule="auto"/>
              <w:rPr>
                <w:b/>
                <w:bCs/>
                <w:color w:val="000000"/>
              </w:rPr>
            </w:pPr>
          </w:p>
        </w:tc>
      </w:tr>
      <w:tr w:rsidR="00353ED4" w:rsidRPr="00815FA1">
        <w:trPr>
          <w:trHeight w:val="205"/>
          <w:jc w:val="center"/>
        </w:trPr>
        <w:tc>
          <w:tcPr>
            <w:tcW w:w="2640" w:type="dxa"/>
            <w:tcBorders>
              <w:top w:val="nil"/>
              <w:left w:val="single" w:sz="8" w:space="0" w:color="auto"/>
              <w:bottom w:val="single" w:sz="8" w:space="0" w:color="auto"/>
              <w:right w:val="single" w:sz="8" w:space="0" w:color="auto"/>
            </w:tcBorders>
            <w:shd w:val="clear" w:color="auto" w:fill="31849B"/>
            <w:noWrap/>
            <w:vAlign w:val="center"/>
          </w:tcPr>
          <w:p w:rsidR="00353ED4" w:rsidRPr="00815FA1" w:rsidRDefault="00353ED4" w:rsidP="008C27CB">
            <w:pPr>
              <w:spacing w:after="0" w:line="240" w:lineRule="auto"/>
              <w:rPr>
                <w:b/>
                <w:bCs/>
                <w:color w:val="000000"/>
              </w:rPr>
            </w:pPr>
            <w:r w:rsidRPr="00815FA1">
              <w:rPr>
                <w:b/>
                <w:bCs/>
                <w:color w:val="000000"/>
              </w:rPr>
              <w:t>TOTAL</w:t>
            </w:r>
          </w:p>
        </w:tc>
        <w:tc>
          <w:tcPr>
            <w:tcW w:w="1426" w:type="dxa"/>
            <w:tcBorders>
              <w:top w:val="nil"/>
              <w:left w:val="nil"/>
              <w:bottom w:val="single" w:sz="8" w:space="0" w:color="auto"/>
              <w:right w:val="single" w:sz="8" w:space="0" w:color="auto"/>
            </w:tcBorders>
            <w:shd w:val="clear" w:color="auto" w:fill="31849B"/>
            <w:noWrap/>
            <w:vAlign w:val="center"/>
          </w:tcPr>
          <w:p w:rsidR="00353ED4" w:rsidRPr="00815FA1" w:rsidRDefault="00353ED4" w:rsidP="008C27CB">
            <w:pPr>
              <w:spacing w:after="0" w:line="240" w:lineRule="auto"/>
              <w:jc w:val="center"/>
              <w:rPr>
                <w:b/>
                <w:bCs/>
                <w:color w:val="000000"/>
              </w:rPr>
            </w:pPr>
            <w:r w:rsidRPr="00815FA1">
              <w:rPr>
                <w:b/>
                <w:bCs/>
                <w:color w:val="000000"/>
              </w:rPr>
              <w:t>4,263,546,668</w:t>
            </w:r>
          </w:p>
        </w:tc>
        <w:tc>
          <w:tcPr>
            <w:tcW w:w="1340" w:type="dxa"/>
            <w:tcBorders>
              <w:top w:val="nil"/>
              <w:left w:val="nil"/>
              <w:bottom w:val="single" w:sz="8" w:space="0" w:color="auto"/>
              <w:right w:val="single" w:sz="8" w:space="0" w:color="auto"/>
            </w:tcBorders>
            <w:shd w:val="clear" w:color="auto" w:fill="31849B"/>
            <w:noWrap/>
            <w:vAlign w:val="center"/>
          </w:tcPr>
          <w:p w:rsidR="00353ED4" w:rsidRPr="00815FA1" w:rsidRDefault="00353ED4" w:rsidP="008C27CB">
            <w:pPr>
              <w:spacing w:after="0" w:line="240" w:lineRule="auto"/>
              <w:jc w:val="center"/>
              <w:rPr>
                <w:b/>
                <w:bCs/>
                <w:color w:val="000000"/>
              </w:rPr>
            </w:pPr>
            <w:r w:rsidRPr="00815FA1">
              <w:rPr>
                <w:b/>
                <w:bCs/>
                <w:color w:val="000000"/>
              </w:rPr>
              <w:t>100</w:t>
            </w:r>
          </w:p>
        </w:tc>
      </w:tr>
      <w:tr w:rsidR="00353ED4" w:rsidRPr="00815FA1">
        <w:trPr>
          <w:trHeight w:val="300"/>
          <w:jc w:val="center"/>
        </w:trPr>
        <w:tc>
          <w:tcPr>
            <w:tcW w:w="2640" w:type="dxa"/>
            <w:tcBorders>
              <w:top w:val="nil"/>
              <w:left w:val="single" w:sz="8" w:space="0" w:color="auto"/>
              <w:bottom w:val="nil"/>
              <w:right w:val="single" w:sz="8" w:space="0" w:color="auto"/>
            </w:tcBorders>
            <w:noWrap/>
            <w:vAlign w:val="center"/>
          </w:tcPr>
          <w:p w:rsidR="00353ED4" w:rsidRPr="00815FA1" w:rsidRDefault="00353ED4" w:rsidP="00132204">
            <w:pPr>
              <w:spacing w:after="0" w:line="240" w:lineRule="auto"/>
              <w:ind w:firstLineChars="100" w:firstLine="200"/>
              <w:rPr>
                <w:color w:val="000000"/>
              </w:rPr>
            </w:pPr>
            <w:r w:rsidRPr="00815FA1">
              <w:rPr>
                <w:color w:val="000000"/>
              </w:rPr>
              <w:t>Domestic</w:t>
            </w:r>
          </w:p>
        </w:tc>
        <w:tc>
          <w:tcPr>
            <w:tcW w:w="1426"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3,292,185,258</w:t>
            </w:r>
          </w:p>
        </w:tc>
        <w:tc>
          <w:tcPr>
            <w:tcW w:w="1340"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77.2</w:t>
            </w:r>
          </w:p>
        </w:tc>
      </w:tr>
      <w:tr w:rsidR="00353ED4" w:rsidRPr="00815FA1">
        <w:trPr>
          <w:trHeight w:val="300"/>
          <w:jc w:val="center"/>
        </w:trPr>
        <w:tc>
          <w:tcPr>
            <w:tcW w:w="2640" w:type="dxa"/>
            <w:tcBorders>
              <w:top w:val="nil"/>
              <w:left w:val="single" w:sz="8" w:space="0" w:color="auto"/>
              <w:bottom w:val="nil"/>
              <w:right w:val="single" w:sz="8" w:space="0" w:color="auto"/>
            </w:tcBorders>
            <w:noWrap/>
            <w:vAlign w:val="center"/>
          </w:tcPr>
          <w:p w:rsidR="00353ED4" w:rsidRPr="00815FA1" w:rsidRDefault="00353ED4" w:rsidP="00132204">
            <w:pPr>
              <w:spacing w:after="0" w:line="240" w:lineRule="auto"/>
              <w:ind w:firstLineChars="100" w:firstLine="200"/>
              <w:rPr>
                <w:color w:val="000000"/>
              </w:rPr>
            </w:pPr>
            <w:r w:rsidRPr="00815FA1">
              <w:rPr>
                <w:color w:val="000000"/>
              </w:rPr>
              <w:t>Household</w:t>
            </w:r>
          </w:p>
        </w:tc>
        <w:tc>
          <w:tcPr>
            <w:tcW w:w="1426"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498,590,807</w:t>
            </w:r>
          </w:p>
        </w:tc>
        <w:tc>
          <w:tcPr>
            <w:tcW w:w="1340"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11.7</w:t>
            </w:r>
          </w:p>
        </w:tc>
      </w:tr>
      <w:tr w:rsidR="00353ED4" w:rsidRPr="00815FA1">
        <w:trPr>
          <w:trHeight w:val="300"/>
          <w:jc w:val="center"/>
        </w:trPr>
        <w:tc>
          <w:tcPr>
            <w:tcW w:w="2640" w:type="dxa"/>
            <w:tcBorders>
              <w:top w:val="nil"/>
              <w:left w:val="single" w:sz="8" w:space="0" w:color="auto"/>
              <w:bottom w:val="nil"/>
              <w:right w:val="single" w:sz="8" w:space="0" w:color="auto"/>
            </w:tcBorders>
            <w:noWrap/>
            <w:vAlign w:val="center"/>
          </w:tcPr>
          <w:p w:rsidR="00353ED4" w:rsidRPr="00815FA1" w:rsidRDefault="00353ED4" w:rsidP="00132204">
            <w:pPr>
              <w:spacing w:after="0" w:line="240" w:lineRule="auto"/>
              <w:ind w:firstLineChars="100" w:firstLine="200"/>
              <w:rPr>
                <w:color w:val="000000"/>
              </w:rPr>
            </w:pPr>
            <w:r w:rsidRPr="00815FA1">
              <w:rPr>
                <w:color w:val="000000"/>
              </w:rPr>
              <w:t>Donor</w:t>
            </w:r>
          </w:p>
        </w:tc>
        <w:tc>
          <w:tcPr>
            <w:tcW w:w="1426"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354,650,934</w:t>
            </w:r>
          </w:p>
        </w:tc>
        <w:tc>
          <w:tcPr>
            <w:tcW w:w="1340" w:type="dxa"/>
            <w:tcBorders>
              <w:top w:val="nil"/>
              <w:left w:val="nil"/>
              <w:bottom w:val="nil"/>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8.3</w:t>
            </w:r>
          </w:p>
        </w:tc>
      </w:tr>
      <w:tr w:rsidR="00353ED4" w:rsidRPr="00815FA1">
        <w:trPr>
          <w:trHeight w:val="315"/>
          <w:jc w:val="center"/>
        </w:trPr>
        <w:tc>
          <w:tcPr>
            <w:tcW w:w="2640" w:type="dxa"/>
            <w:tcBorders>
              <w:top w:val="nil"/>
              <w:left w:val="single" w:sz="8" w:space="0" w:color="auto"/>
              <w:bottom w:val="single" w:sz="8" w:space="0" w:color="auto"/>
              <w:right w:val="single" w:sz="8" w:space="0" w:color="auto"/>
            </w:tcBorders>
            <w:noWrap/>
            <w:vAlign w:val="center"/>
          </w:tcPr>
          <w:p w:rsidR="00353ED4" w:rsidRPr="00815FA1" w:rsidRDefault="00353ED4" w:rsidP="00132204">
            <w:pPr>
              <w:spacing w:after="0" w:line="240" w:lineRule="auto"/>
              <w:ind w:firstLineChars="100" w:firstLine="200"/>
              <w:rPr>
                <w:color w:val="000000"/>
              </w:rPr>
            </w:pPr>
            <w:r w:rsidRPr="00815FA1">
              <w:rPr>
                <w:color w:val="000000"/>
              </w:rPr>
              <w:t>Mining Canon and similar</w:t>
            </w:r>
          </w:p>
        </w:tc>
        <w:tc>
          <w:tcPr>
            <w:tcW w:w="1426" w:type="dxa"/>
            <w:tcBorders>
              <w:top w:val="nil"/>
              <w:left w:val="nil"/>
              <w:bottom w:val="single" w:sz="8" w:space="0" w:color="auto"/>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118,119,669</w:t>
            </w:r>
          </w:p>
        </w:tc>
        <w:tc>
          <w:tcPr>
            <w:tcW w:w="1340" w:type="dxa"/>
            <w:tcBorders>
              <w:top w:val="nil"/>
              <w:left w:val="nil"/>
              <w:bottom w:val="single" w:sz="8" w:space="0" w:color="auto"/>
              <w:right w:val="single" w:sz="8" w:space="0" w:color="auto"/>
            </w:tcBorders>
            <w:noWrap/>
            <w:vAlign w:val="center"/>
          </w:tcPr>
          <w:p w:rsidR="00353ED4" w:rsidRPr="00815FA1" w:rsidRDefault="00353ED4" w:rsidP="008C27CB">
            <w:pPr>
              <w:spacing w:after="0" w:line="240" w:lineRule="auto"/>
              <w:jc w:val="center"/>
              <w:rPr>
                <w:color w:val="000000"/>
              </w:rPr>
            </w:pPr>
            <w:r w:rsidRPr="00815FA1">
              <w:rPr>
                <w:color w:val="000000"/>
              </w:rPr>
              <w:t>2.8</w:t>
            </w:r>
          </w:p>
        </w:tc>
      </w:tr>
    </w:tbl>
    <w:p w:rsidR="00353ED4" w:rsidRPr="0088257F" w:rsidRDefault="00353ED4" w:rsidP="00DD6239">
      <w:pPr>
        <w:ind w:firstLine="708"/>
        <w:rPr>
          <w:sz w:val="22"/>
        </w:rPr>
      </w:pPr>
      <w:r w:rsidRPr="0088257F">
        <w:rPr>
          <w:sz w:val="22"/>
        </w:rPr>
        <w:t>Source: SIAF</w:t>
      </w:r>
    </w:p>
    <w:p w:rsidR="00353ED4" w:rsidRDefault="00353ED4" w:rsidP="009C294A">
      <w:pPr>
        <w:jc w:val="both"/>
        <w:rPr>
          <w:rFonts w:cs="Tahoma"/>
          <w:sz w:val="22"/>
        </w:rPr>
      </w:pPr>
      <w:r w:rsidRPr="00CE79D9">
        <w:rPr>
          <w:rFonts w:cs="Tahoma"/>
          <w:sz w:val="22"/>
        </w:rPr>
        <w:t xml:space="preserve">Cotlear (2006) argue that even within MINSA´s establishments, the relative importance of household financing varies. For instance, the budget of the hospitals from Lima </w:t>
      </w:r>
      <w:r>
        <w:rPr>
          <w:rFonts w:cs="Tahoma"/>
          <w:sz w:val="22"/>
        </w:rPr>
        <w:t xml:space="preserve">strongly </w:t>
      </w:r>
      <w:r w:rsidRPr="00CE79D9">
        <w:rPr>
          <w:rFonts w:cs="Tahoma"/>
          <w:sz w:val="22"/>
        </w:rPr>
        <w:t xml:space="preserve">depend </w:t>
      </w:r>
      <w:r>
        <w:rPr>
          <w:rFonts w:cs="Tahoma"/>
          <w:sz w:val="22"/>
        </w:rPr>
        <w:t>on</w:t>
      </w:r>
      <w:r w:rsidRPr="00CE79D9">
        <w:rPr>
          <w:rFonts w:cs="Tahoma"/>
          <w:sz w:val="22"/>
        </w:rPr>
        <w:t xml:space="preserve"> the resources gather by the tariffs, which on average represent 25% of their income</w:t>
      </w:r>
      <w:r>
        <w:rPr>
          <w:rFonts w:cs="Tahoma"/>
          <w:sz w:val="22"/>
        </w:rPr>
        <w:t>. T</w:t>
      </w:r>
      <w:r w:rsidRPr="00CE79D9">
        <w:rPr>
          <w:rFonts w:cs="Tahoma"/>
          <w:sz w:val="22"/>
        </w:rPr>
        <w:t>here are</w:t>
      </w:r>
      <w:r>
        <w:rPr>
          <w:rFonts w:cs="Tahoma"/>
          <w:sz w:val="22"/>
        </w:rPr>
        <w:t xml:space="preserve">, however, </w:t>
      </w:r>
      <w:r w:rsidRPr="00CE79D9">
        <w:rPr>
          <w:rFonts w:cs="Tahoma"/>
          <w:sz w:val="22"/>
        </w:rPr>
        <w:t xml:space="preserve">extreme cases, like the specialized institutions and larger hospitals, where the directly collected resources reached </w:t>
      </w:r>
      <w:r>
        <w:rPr>
          <w:rFonts w:cs="Tahoma"/>
          <w:sz w:val="22"/>
        </w:rPr>
        <w:t xml:space="preserve">more than </w:t>
      </w:r>
      <w:r w:rsidRPr="00CE79D9">
        <w:rPr>
          <w:rFonts w:cs="Tahoma"/>
          <w:sz w:val="22"/>
        </w:rPr>
        <w:t>6</w:t>
      </w:r>
      <w:r>
        <w:rPr>
          <w:rFonts w:cs="Tahoma"/>
          <w:sz w:val="22"/>
        </w:rPr>
        <w:t>0</w:t>
      </w:r>
      <w:r w:rsidRPr="00CE79D9">
        <w:rPr>
          <w:rFonts w:cs="Tahoma"/>
          <w:sz w:val="22"/>
        </w:rPr>
        <w:t>% of their incomes</w:t>
      </w:r>
      <w:r>
        <w:rPr>
          <w:rFonts w:cs="Tahoma"/>
          <w:sz w:val="22"/>
        </w:rPr>
        <w:t>.</w:t>
      </w:r>
      <w:r w:rsidRPr="00CE79D9">
        <w:rPr>
          <w:rFonts w:cs="Tahoma"/>
          <w:sz w:val="22"/>
        </w:rPr>
        <w:t xml:space="preserve"> </w:t>
      </w:r>
    </w:p>
    <w:p w:rsidR="00353ED4" w:rsidRDefault="00353ED4">
      <w:pPr>
        <w:spacing w:before="0" w:after="0" w:line="240" w:lineRule="auto"/>
        <w:rPr>
          <w:rFonts w:cs="Tahoma"/>
          <w:sz w:val="22"/>
        </w:rPr>
      </w:pPr>
      <w:r>
        <w:rPr>
          <w:rFonts w:cs="Tahoma"/>
          <w:sz w:val="22"/>
        </w:rPr>
        <w:br w:type="page"/>
      </w:r>
    </w:p>
    <w:p w:rsidR="00353ED4" w:rsidRPr="004A2EFD" w:rsidRDefault="00353ED4" w:rsidP="008937E1">
      <w:pPr>
        <w:pStyle w:val="Ttulo1"/>
        <w:numPr>
          <w:ilvl w:val="0"/>
          <w:numId w:val="28"/>
        </w:numPr>
        <w:pBdr>
          <w:left w:val="single" w:sz="24" w:space="1" w:color="4F81BD"/>
        </w:pBdr>
        <w:ind w:left="426" w:hanging="426"/>
        <w:rPr>
          <w:rStyle w:val="apple-style-span"/>
        </w:rPr>
      </w:pPr>
      <w:bookmarkStart w:id="62" w:name="_Toc254270037"/>
      <w:r w:rsidRPr="004A2EFD">
        <w:rPr>
          <w:rStyle w:val="apple-style-span"/>
        </w:rPr>
        <w:t>Benefit incidence analysis</w:t>
      </w:r>
      <w:bookmarkEnd w:id="62"/>
      <w:r w:rsidRPr="004A2EFD">
        <w:rPr>
          <w:rStyle w:val="apple-style-span"/>
        </w:rPr>
        <w:t xml:space="preserve">  </w:t>
      </w:r>
    </w:p>
    <w:p w:rsidR="00353ED4" w:rsidRPr="00815FA1" w:rsidRDefault="00353ED4" w:rsidP="003C3410">
      <w:pPr>
        <w:pStyle w:val="Ttulo2"/>
        <w:numPr>
          <w:ilvl w:val="0"/>
          <w:numId w:val="31"/>
        </w:numPr>
      </w:pPr>
      <w:bookmarkStart w:id="63" w:name="_Toc247676664"/>
      <w:bookmarkStart w:id="64" w:name="_Toc247678228"/>
      <w:bookmarkStart w:id="65" w:name="_Toc247884580"/>
      <w:bookmarkStart w:id="66" w:name="_Toc254270038"/>
      <w:r w:rsidRPr="00815FA1">
        <w:t>Unitary Subsidy</w:t>
      </w:r>
      <w:bookmarkEnd w:id="63"/>
      <w:bookmarkEnd w:id="64"/>
      <w:bookmarkEnd w:id="65"/>
      <w:bookmarkEnd w:id="66"/>
    </w:p>
    <w:p w:rsidR="00353ED4" w:rsidRPr="00815FA1" w:rsidRDefault="00353ED4" w:rsidP="00AB2382">
      <w:pPr>
        <w:jc w:val="both"/>
        <w:rPr>
          <w:sz w:val="22"/>
          <w:szCs w:val="22"/>
        </w:rPr>
      </w:pPr>
      <w:r w:rsidRPr="00815FA1">
        <w:rPr>
          <w:sz w:val="22"/>
          <w:szCs w:val="22"/>
        </w:rPr>
        <w:t xml:space="preserve">An important measure of how public spending effectively gets to each individual is the amount of the subsidy per user of the public system. This is a way of determining how much the government contributes to household spending in health and if the distribution is even among different </w:t>
      </w:r>
      <w:r>
        <w:rPr>
          <w:sz w:val="22"/>
          <w:szCs w:val="22"/>
        </w:rPr>
        <w:t xml:space="preserve">expenditure </w:t>
      </w:r>
      <w:r w:rsidRPr="00815FA1">
        <w:rPr>
          <w:sz w:val="22"/>
          <w:szCs w:val="22"/>
        </w:rPr>
        <w:t>quintiles and facility’s levels.</w:t>
      </w:r>
      <w:r>
        <w:rPr>
          <w:sz w:val="22"/>
          <w:szCs w:val="22"/>
        </w:rPr>
        <w:t xml:space="preserve"> Through the Benefit Incidence Analysis it is possible to approximate how the expenditure of the government benefices certain groups. </w:t>
      </w:r>
    </w:p>
    <w:p w:rsidR="00353ED4" w:rsidRPr="00815FA1" w:rsidRDefault="00353ED4" w:rsidP="003C3410">
      <w:pPr>
        <w:pStyle w:val="Ttulo3"/>
        <w:numPr>
          <w:ilvl w:val="0"/>
          <w:numId w:val="32"/>
        </w:numPr>
      </w:pPr>
      <w:bookmarkStart w:id="67" w:name="_Toc247676665"/>
      <w:bookmarkStart w:id="68" w:name="_Toc247678229"/>
      <w:bookmarkStart w:id="69" w:name="_Toc247884581"/>
      <w:bookmarkStart w:id="70" w:name="_Toc254270039"/>
      <w:r w:rsidRPr="00815FA1">
        <w:t>Methodology and Assumptions</w:t>
      </w:r>
      <w:bookmarkEnd w:id="67"/>
      <w:bookmarkEnd w:id="68"/>
      <w:bookmarkEnd w:id="69"/>
      <w:bookmarkEnd w:id="70"/>
    </w:p>
    <w:p w:rsidR="00353ED4" w:rsidRPr="00815FA1" w:rsidRDefault="00353ED4" w:rsidP="006473AE">
      <w:pPr>
        <w:jc w:val="both"/>
        <w:rPr>
          <w:sz w:val="22"/>
          <w:szCs w:val="22"/>
        </w:rPr>
      </w:pPr>
      <w:r w:rsidRPr="00815FA1">
        <w:rPr>
          <w:sz w:val="22"/>
          <w:szCs w:val="22"/>
        </w:rPr>
        <w:t>In order to calculate the subsidy per user, we used two procedures:</w:t>
      </w:r>
    </w:p>
    <w:p w:rsidR="00353ED4" w:rsidRPr="00815FA1" w:rsidRDefault="00353ED4" w:rsidP="006473AE">
      <w:pPr>
        <w:numPr>
          <w:ilvl w:val="3"/>
          <w:numId w:val="32"/>
        </w:numPr>
        <w:ind w:left="426"/>
        <w:jc w:val="both"/>
        <w:rPr>
          <w:sz w:val="22"/>
          <w:szCs w:val="22"/>
        </w:rPr>
      </w:pPr>
      <w:r w:rsidRPr="00815FA1">
        <w:rPr>
          <w:sz w:val="22"/>
          <w:szCs w:val="22"/>
        </w:rPr>
        <w:t>From the Health Information System (HIS) we have the number of attended individuals and hospital discharges for MINSA establishments divided in three categories, related to the attention level of complexity: hospitals, health centers and health posts. We added hospital discharges to the number of attended individuals to have the total number of individuals attended by MINSA. Given the available data, we assume the same per-user subsidy for a hospital discharge than for other consults</w:t>
      </w:r>
      <w:r>
        <w:rPr>
          <w:sz w:val="22"/>
          <w:szCs w:val="22"/>
        </w:rPr>
        <w:t xml:space="preserve"> at a hospital</w:t>
      </w:r>
      <w:r w:rsidRPr="00815FA1">
        <w:rPr>
          <w:sz w:val="22"/>
          <w:szCs w:val="22"/>
        </w:rPr>
        <w:t>.</w:t>
      </w:r>
    </w:p>
    <w:p w:rsidR="00353ED4" w:rsidRPr="00815FA1" w:rsidRDefault="00353ED4" w:rsidP="006473AE">
      <w:pPr>
        <w:ind w:left="426"/>
        <w:jc w:val="both"/>
        <w:rPr>
          <w:sz w:val="22"/>
          <w:szCs w:val="22"/>
        </w:rPr>
      </w:pPr>
      <w:r w:rsidRPr="00815FA1">
        <w:rPr>
          <w:sz w:val="22"/>
          <w:szCs w:val="22"/>
        </w:rPr>
        <w:t>With SIAF information we have MINSA’s budget by type of executing unit. For hospital subsidy, the expenditure of hospitals that are executing units (higher level of complexity) is used. For health centers and posts subsidy, we use the Regional Directorates (which are executing units) to approximate the expenditure in these facilities.</w:t>
      </w:r>
    </w:p>
    <w:p w:rsidR="00353ED4" w:rsidRPr="00815FA1" w:rsidRDefault="00353ED4" w:rsidP="006473AE">
      <w:pPr>
        <w:ind w:left="426"/>
        <w:jc w:val="both"/>
        <w:rPr>
          <w:sz w:val="22"/>
          <w:szCs w:val="22"/>
        </w:rPr>
      </w:pPr>
      <w:r w:rsidRPr="00815FA1">
        <w:rPr>
          <w:sz w:val="22"/>
          <w:szCs w:val="22"/>
        </w:rPr>
        <w:t xml:space="preserve">All other public health expenditures (administrative MINSA, SIS, regional governments) are distributed following the same proportion of the expenditure, by type of health facility. Thus, if hospitals expenditure is three times the other level facilities’ expenditure (lesser level of complexity), then the rest of the public budget is distributed among these two categories following the three to one ratio. </w:t>
      </w:r>
    </w:p>
    <w:p w:rsidR="00353ED4" w:rsidRPr="006E5BA1" w:rsidRDefault="00353ED4" w:rsidP="006E5BA1">
      <w:pPr>
        <w:numPr>
          <w:ilvl w:val="3"/>
          <w:numId w:val="32"/>
        </w:numPr>
        <w:ind w:left="426"/>
        <w:jc w:val="both"/>
        <w:rPr>
          <w:sz w:val="22"/>
          <w:szCs w:val="22"/>
        </w:rPr>
      </w:pPr>
      <w:r w:rsidRPr="006E5BA1">
        <w:rPr>
          <w:sz w:val="22"/>
          <w:szCs w:val="22"/>
        </w:rPr>
        <w:t xml:space="preserve">In order to calculate subsidies by income level, we use Peruvian Household Survey -ENAHO. In the health module, individuals are asked about the type of health facility they were attended at for their last injury or disease. Using this information it is possible to approximate how many of the attentions in each health facility are given to individuals of each income quintile. Quintiles were constructed using data from the household expending provided in the ENAHO.  ENAHO provides information on both households’ total yearly income and expenditure; the quintiles were constructed using expenditure instead of income because the methodology that ENAHO uses to estimate expenditure is similar to the one it uses to estimate expenditure in Health. This methodology assumes that individuals from different wealth quintiles receive attention at a health facility with the same frequency. In addition, it is assumed that individuals from different quintiles receive the same subsidy in each attention.       </w:t>
      </w:r>
    </w:p>
    <w:p w:rsidR="00353ED4" w:rsidRPr="00815FA1" w:rsidRDefault="00353ED4" w:rsidP="009C294A">
      <w:pPr>
        <w:ind w:left="440" w:hanging="14"/>
        <w:jc w:val="both"/>
        <w:rPr>
          <w:sz w:val="22"/>
          <w:szCs w:val="22"/>
        </w:rPr>
      </w:pPr>
      <w:r w:rsidRPr="00815FA1">
        <w:rPr>
          <w:sz w:val="22"/>
          <w:szCs w:val="22"/>
        </w:rPr>
        <w:t>Alternatively, the ENAHO also asks the individuals how much did their last attention cost, or when they did not pay for it directly, how much they think it would have cost. With this information and information regarding who provides the financing, we estimate the subsidy by income quinti</w:t>
      </w:r>
      <w:r>
        <w:rPr>
          <w:sz w:val="22"/>
          <w:szCs w:val="22"/>
        </w:rPr>
        <w:t xml:space="preserve">le for the </w:t>
      </w:r>
      <w:r w:rsidRPr="00815FA1">
        <w:rPr>
          <w:sz w:val="22"/>
          <w:szCs w:val="22"/>
        </w:rPr>
        <w:t>SIS.</w:t>
      </w:r>
    </w:p>
    <w:p w:rsidR="00353ED4" w:rsidRPr="00815FA1" w:rsidRDefault="00353ED4" w:rsidP="006473AE">
      <w:pPr>
        <w:ind w:left="426"/>
        <w:jc w:val="both"/>
        <w:rPr>
          <w:sz w:val="22"/>
          <w:szCs w:val="22"/>
        </w:rPr>
      </w:pPr>
      <w:r w:rsidRPr="00815FA1">
        <w:rPr>
          <w:sz w:val="22"/>
          <w:szCs w:val="22"/>
        </w:rPr>
        <w:t xml:space="preserve">An important assumption made in these estimations is considering that the amount declared by individuals on how much they think the service would have cost them, is a good estimation of how much the service actually costs. </w:t>
      </w:r>
    </w:p>
    <w:p w:rsidR="00353ED4" w:rsidRPr="00815FA1" w:rsidRDefault="00353ED4" w:rsidP="006473AE">
      <w:pPr>
        <w:pStyle w:val="Ttulo3"/>
        <w:numPr>
          <w:ilvl w:val="0"/>
          <w:numId w:val="32"/>
        </w:numPr>
      </w:pPr>
      <w:bookmarkStart w:id="71" w:name="_Toc247676666"/>
      <w:bookmarkStart w:id="72" w:name="_Toc247678230"/>
      <w:bookmarkStart w:id="73" w:name="_Toc247884582"/>
      <w:bookmarkStart w:id="74" w:name="_Toc254270040"/>
      <w:r w:rsidRPr="00815FA1">
        <w:t>Subsidies per user</w:t>
      </w:r>
      <w:bookmarkEnd w:id="71"/>
      <w:bookmarkEnd w:id="72"/>
      <w:bookmarkEnd w:id="73"/>
      <w:bookmarkEnd w:id="74"/>
    </w:p>
    <w:p w:rsidR="00353ED4" w:rsidRPr="00815FA1" w:rsidRDefault="00353ED4" w:rsidP="009C294A">
      <w:pPr>
        <w:jc w:val="both"/>
        <w:rPr>
          <w:sz w:val="22"/>
          <w:szCs w:val="22"/>
        </w:rPr>
      </w:pPr>
      <w:r>
        <w:t xml:space="preserve">Table 29 </w:t>
      </w:r>
      <w:r w:rsidRPr="00815FA1">
        <w:rPr>
          <w:sz w:val="22"/>
          <w:szCs w:val="22"/>
        </w:rPr>
        <w:t xml:space="preserve">presents estimated per user subsidy using the HIS data. We included budget from hospitals, regional directorates (DISAs) and SIS. These three categories are the more accurately assigned to each level of attentions: hospitals, and first and second level of complexity. Hospitals meant 25% of the total attentions and get 48% of total expenditure. Per user subsidy is 2.7 times larger in hospitals than in less complex establishments. However, hospitals have more expensive costs of attention because of its higher administrative and infrastructure costs. Additionally, hospitals do attend more complex health problems, which are more expensive to cure.  </w:t>
      </w:r>
    </w:p>
    <w:p w:rsidR="00353ED4" w:rsidRPr="00815FA1" w:rsidRDefault="00353ED4" w:rsidP="006473AE">
      <w:pPr>
        <w:jc w:val="center"/>
        <w:rPr>
          <w:b/>
          <w:sz w:val="22"/>
        </w:rPr>
      </w:pPr>
      <w:bookmarkStart w:id="75" w:name="_Ref247579922"/>
      <w:bookmarkStart w:id="76" w:name="_Ref247579911"/>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29</w:t>
      </w:r>
      <w:r w:rsidRPr="00815FA1">
        <w:rPr>
          <w:b/>
          <w:sz w:val="22"/>
        </w:rPr>
        <w:fldChar w:fldCharType="end"/>
      </w:r>
      <w:bookmarkEnd w:id="75"/>
      <w:r w:rsidRPr="00815FA1">
        <w:rPr>
          <w:b/>
          <w:sz w:val="22"/>
        </w:rPr>
        <w:t xml:space="preserve">: </w:t>
      </w:r>
      <w:bookmarkStart w:id="77" w:name="OLE_LINK5"/>
      <w:bookmarkStart w:id="78" w:name="OLE_LINK8"/>
      <w:r w:rsidRPr="00815FA1">
        <w:rPr>
          <w:b/>
          <w:sz w:val="22"/>
        </w:rPr>
        <w:t xml:space="preserve">Per user subsidy </w:t>
      </w:r>
      <w:bookmarkEnd w:id="77"/>
      <w:bookmarkEnd w:id="78"/>
      <w:r w:rsidRPr="00815FA1">
        <w:rPr>
          <w:b/>
          <w:sz w:val="22"/>
        </w:rPr>
        <w:t>(Hospitals, regional directorates and SIS)</w:t>
      </w:r>
      <w:bookmarkEnd w:id="76"/>
      <w:r w:rsidRPr="00815FA1">
        <w:rPr>
          <w:b/>
          <w:sz w:val="22"/>
        </w:rPr>
        <w:t xml:space="preserve"> by facility level, 2008</w:t>
      </w:r>
    </w:p>
    <w:tbl>
      <w:tblPr>
        <w:tblW w:w="7168" w:type="dxa"/>
        <w:jc w:val="center"/>
        <w:tblCellMar>
          <w:left w:w="70" w:type="dxa"/>
          <w:right w:w="70" w:type="dxa"/>
        </w:tblCellMar>
        <w:tblLook w:val="00A0" w:firstRow="1" w:lastRow="0" w:firstColumn="1" w:lastColumn="0" w:noHBand="0" w:noVBand="0"/>
      </w:tblPr>
      <w:tblGrid>
        <w:gridCol w:w="2238"/>
        <w:gridCol w:w="1990"/>
        <w:gridCol w:w="1520"/>
        <w:gridCol w:w="1420"/>
      </w:tblGrid>
      <w:tr w:rsidR="00353ED4" w:rsidRPr="00815FA1">
        <w:trPr>
          <w:trHeight w:val="392"/>
          <w:jc w:val="center"/>
        </w:trPr>
        <w:tc>
          <w:tcPr>
            <w:tcW w:w="2238" w:type="dxa"/>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1990" w:type="dxa"/>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rPr>
                <w:sz w:val="22"/>
                <w:szCs w:val="22"/>
              </w:rPr>
            </w:pPr>
            <w:r w:rsidRPr="00815FA1">
              <w:rPr>
                <w:sz w:val="22"/>
                <w:szCs w:val="22"/>
              </w:rPr>
              <w:t>Unit Subsidy</w:t>
            </w:r>
            <w:r>
              <w:rPr>
                <w:sz w:val="22"/>
                <w:szCs w:val="22"/>
              </w:rPr>
              <w:t xml:space="preserve"> </w:t>
            </w:r>
            <w:r w:rsidRPr="00815FA1">
              <w:rPr>
                <w:sz w:val="22"/>
                <w:szCs w:val="22"/>
              </w:rPr>
              <w:t>(in Nuevos Soles)</w:t>
            </w:r>
          </w:p>
        </w:tc>
        <w:tc>
          <w:tcPr>
            <w:tcW w:w="1520" w:type="dxa"/>
            <w:tcBorders>
              <w:top w:val="single" w:sz="8" w:space="0" w:color="auto"/>
              <w:left w:val="nil"/>
              <w:bottom w:val="nil"/>
              <w:right w:val="single" w:sz="8" w:space="0" w:color="auto"/>
            </w:tcBorders>
            <w:shd w:val="clear" w:color="auto" w:fill="8DB3E2"/>
            <w:vAlign w:val="center"/>
          </w:tcPr>
          <w:p w:rsidR="00353ED4" w:rsidRPr="00815FA1" w:rsidRDefault="00353ED4" w:rsidP="00EC516F">
            <w:pPr>
              <w:spacing w:before="0" w:after="0" w:line="240" w:lineRule="auto"/>
              <w:rPr>
                <w:sz w:val="22"/>
                <w:szCs w:val="22"/>
              </w:rPr>
            </w:pPr>
            <w:r w:rsidRPr="00815FA1">
              <w:rPr>
                <w:sz w:val="22"/>
                <w:szCs w:val="22"/>
              </w:rPr>
              <w:t>Attended</w:t>
            </w:r>
          </w:p>
        </w:tc>
        <w:tc>
          <w:tcPr>
            <w:tcW w:w="1420" w:type="dxa"/>
            <w:tcBorders>
              <w:top w:val="single" w:sz="8" w:space="0" w:color="auto"/>
              <w:left w:val="nil"/>
              <w:bottom w:val="nil"/>
              <w:right w:val="single" w:sz="8" w:space="0" w:color="auto"/>
            </w:tcBorders>
            <w:shd w:val="clear" w:color="auto" w:fill="8DB3E2"/>
            <w:vAlign w:val="center"/>
          </w:tcPr>
          <w:p w:rsidR="00353ED4" w:rsidRPr="00815FA1" w:rsidRDefault="00353ED4" w:rsidP="00EC516F">
            <w:pPr>
              <w:spacing w:before="0" w:after="0" w:line="240" w:lineRule="auto"/>
              <w:rPr>
                <w:sz w:val="22"/>
                <w:szCs w:val="22"/>
              </w:rPr>
            </w:pPr>
            <w:r w:rsidRPr="00815FA1">
              <w:rPr>
                <w:sz w:val="22"/>
                <w:szCs w:val="22"/>
              </w:rPr>
              <w:t>Budget (in Nuevos Soles)</w:t>
            </w:r>
          </w:p>
        </w:tc>
      </w:tr>
      <w:tr w:rsidR="00353ED4" w:rsidRPr="00815FA1">
        <w:trPr>
          <w:trHeight w:val="300"/>
          <w:jc w:val="center"/>
        </w:trPr>
        <w:tc>
          <w:tcPr>
            <w:tcW w:w="2238" w:type="dxa"/>
            <w:tcBorders>
              <w:top w:val="single" w:sz="8" w:space="0" w:color="auto"/>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 xml:space="preserve">Hospital </w:t>
            </w:r>
          </w:p>
        </w:tc>
        <w:tc>
          <w:tcPr>
            <w:tcW w:w="199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493.8</w:t>
            </w:r>
          </w:p>
        </w:tc>
        <w:tc>
          <w:tcPr>
            <w:tcW w:w="152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3,326,078</w:t>
            </w:r>
          </w:p>
        </w:tc>
        <w:tc>
          <w:tcPr>
            <w:tcW w:w="142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1,642,278,310</w:t>
            </w:r>
          </w:p>
        </w:tc>
      </w:tr>
      <w:tr w:rsidR="00353ED4" w:rsidRPr="00815FA1">
        <w:trPr>
          <w:trHeight w:val="315"/>
          <w:jc w:val="center"/>
        </w:trPr>
        <w:tc>
          <w:tcPr>
            <w:tcW w:w="2238"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and Second Level</w:t>
            </w:r>
          </w:p>
        </w:tc>
        <w:tc>
          <w:tcPr>
            <w:tcW w:w="199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183.5</w:t>
            </w:r>
          </w:p>
        </w:tc>
        <w:tc>
          <w:tcPr>
            <w:tcW w:w="152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9,861,384</w:t>
            </w:r>
          </w:p>
        </w:tc>
        <w:tc>
          <w:tcPr>
            <w:tcW w:w="142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1,809,884,938</w:t>
            </w:r>
          </w:p>
        </w:tc>
      </w:tr>
      <w:tr w:rsidR="00353ED4" w:rsidRPr="00815FA1">
        <w:trPr>
          <w:trHeight w:val="315"/>
          <w:jc w:val="center"/>
        </w:trPr>
        <w:tc>
          <w:tcPr>
            <w:tcW w:w="2238" w:type="dxa"/>
            <w:tcBorders>
              <w:top w:val="single" w:sz="8" w:space="0" w:color="auto"/>
              <w:left w:val="single" w:sz="8"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rPr>
                <w:sz w:val="22"/>
                <w:szCs w:val="22"/>
              </w:rPr>
            </w:pPr>
            <w:r w:rsidRPr="00815FA1">
              <w:rPr>
                <w:sz w:val="22"/>
                <w:szCs w:val="22"/>
              </w:rPr>
              <w:t>TOTAL</w:t>
            </w:r>
          </w:p>
        </w:tc>
        <w:tc>
          <w:tcPr>
            <w:tcW w:w="199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261.8</w:t>
            </w:r>
          </w:p>
        </w:tc>
        <w:tc>
          <w:tcPr>
            <w:tcW w:w="152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13,187,462</w:t>
            </w:r>
          </w:p>
        </w:tc>
        <w:tc>
          <w:tcPr>
            <w:tcW w:w="142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3,452,163,248</w:t>
            </w:r>
          </w:p>
        </w:tc>
      </w:tr>
    </w:tbl>
    <w:p w:rsidR="00353ED4" w:rsidRPr="00815FA1" w:rsidRDefault="00353ED4" w:rsidP="006473AE">
      <w:pPr>
        <w:ind w:firstLine="708"/>
        <w:rPr>
          <w:sz w:val="22"/>
          <w:szCs w:val="22"/>
        </w:rPr>
      </w:pPr>
      <w:r w:rsidRPr="00815FA1">
        <w:rPr>
          <w:sz w:val="22"/>
          <w:szCs w:val="22"/>
        </w:rPr>
        <w:t>Sources: HIS and SIAF</w:t>
      </w:r>
    </w:p>
    <w:p w:rsidR="00353ED4" w:rsidRPr="00815FA1" w:rsidRDefault="00353ED4" w:rsidP="006473AE">
      <w:pPr>
        <w:jc w:val="both"/>
        <w:rPr>
          <w:sz w:val="22"/>
          <w:szCs w:val="22"/>
        </w:rPr>
      </w:pPr>
      <w:r>
        <w:t>Table 30</w:t>
      </w:r>
      <w:r w:rsidRPr="00815FA1">
        <w:rPr>
          <w:sz w:val="22"/>
          <w:szCs w:val="22"/>
        </w:rPr>
        <w:t xml:space="preserve"> shows the same subsidy per user but including all MINSA budget; thus, including administrative costs, regional government and the other OPD’s expenditure, distributed as stated before. </w:t>
      </w:r>
      <w:bookmarkStart w:id="79" w:name="_Ref247580764"/>
    </w:p>
    <w:p w:rsidR="00353ED4" w:rsidRDefault="00353ED4" w:rsidP="006473AE">
      <w:pPr>
        <w:jc w:val="center"/>
        <w:rPr>
          <w:b/>
          <w:sz w:val="22"/>
        </w:rPr>
      </w:pPr>
    </w:p>
    <w:p w:rsidR="00353ED4" w:rsidRDefault="00353ED4" w:rsidP="006473AE">
      <w:pPr>
        <w:jc w:val="center"/>
        <w:rPr>
          <w:b/>
          <w:sz w:val="22"/>
        </w:rPr>
      </w:pPr>
    </w:p>
    <w:p w:rsidR="00353ED4" w:rsidRDefault="00353ED4" w:rsidP="006473AE">
      <w:pPr>
        <w:jc w:val="center"/>
        <w:rPr>
          <w:b/>
          <w:sz w:val="22"/>
        </w:rPr>
      </w:pPr>
    </w:p>
    <w:p w:rsidR="00353ED4" w:rsidRDefault="00353ED4" w:rsidP="006473AE">
      <w:pPr>
        <w:jc w:val="center"/>
        <w:rPr>
          <w:b/>
          <w:sz w:val="22"/>
        </w:rPr>
      </w:pPr>
    </w:p>
    <w:p w:rsidR="00353ED4" w:rsidRDefault="00353ED4" w:rsidP="006473AE">
      <w:pPr>
        <w:jc w:val="center"/>
        <w:rPr>
          <w:b/>
          <w:sz w:val="22"/>
        </w:rPr>
      </w:pPr>
    </w:p>
    <w:p w:rsidR="00353ED4" w:rsidRPr="00815FA1" w:rsidRDefault="00353ED4" w:rsidP="006473AE">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30</w:t>
      </w:r>
      <w:r w:rsidRPr="00815FA1">
        <w:rPr>
          <w:b/>
          <w:sz w:val="22"/>
        </w:rPr>
        <w:fldChar w:fldCharType="end"/>
      </w:r>
      <w:bookmarkEnd w:id="79"/>
      <w:r w:rsidRPr="00815FA1">
        <w:rPr>
          <w:b/>
          <w:sz w:val="22"/>
        </w:rPr>
        <w:t>: Per user subsidy (Hospitals, regional directorates, OPDs, regional government and administrative expenditure) by facility level, 2008</w:t>
      </w:r>
    </w:p>
    <w:tbl>
      <w:tblPr>
        <w:tblW w:w="7168" w:type="dxa"/>
        <w:jc w:val="center"/>
        <w:tblCellMar>
          <w:left w:w="70" w:type="dxa"/>
          <w:right w:w="70" w:type="dxa"/>
        </w:tblCellMar>
        <w:tblLook w:val="00A0" w:firstRow="1" w:lastRow="0" w:firstColumn="1" w:lastColumn="0" w:noHBand="0" w:noVBand="0"/>
      </w:tblPr>
      <w:tblGrid>
        <w:gridCol w:w="2238"/>
        <w:gridCol w:w="1990"/>
        <w:gridCol w:w="1520"/>
        <w:gridCol w:w="1420"/>
      </w:tblGrid>
      <w:tr w:rsidR="00353ED4" w:rsidRPr="00815FA1">
        <w:trPr>
          <w:trHeight w:val="392"/>
          <w:jc w:val="center"/>
        </w:trPr>
        <w:tc>
          <w:tcPr>
            <w:tcW w:w="2238" w:type="dxa"/>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1990" w:type="dxa"/>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rPr>
                <w:sz w:val="22"/>
                <w:szCs w:val="22"/>
              </w:rPr>
            </w:pPr>
            <w:r w:rsidRPr="00815FA1">
              <w:rPr>
                <w:sz w:val="22"/>
                <w:szCs w:val="22"/>
              </w:rPr>
              <w:t>Unit Subsidy</w:t>
            </w:r>
          </w:p>
        </w:tc>
        <w:tc>
          <w:tcPr>
            <w:tcW w:w="1520" w:type="dxa"/>
            <w:tcBorders>
              <w:top w:val="single" w:sz="8" w:space="0" w:color="auto"/>
              <w:left w:val="nil"/>
              <w:bottom w:val="nil"/>
              <w:right w:val="single" w:sz="8" w:space="0" w:color="auto"/>
            </w:tcBorders>
            <w:shd w:val="clear" w:color="auto" w:fill="8DB3E2"/>
            <w:vAlign w:val="center"/>
          </w:tcPr>
          <w:p w:rsidR="00353ED4" w:rsidRPr="00815FA1" w:rsidRDefault="00353ED4" w:rsidP="00EC516F">
            <w:pPr>
              <w:spacing w:before="0" w:after="0" w:line="240" w:lineRule="auto"/>
              <w:rPr>
                <w:sz w:val="22"/>
                <w:szCs w:val="22"/>
              </w:rPr>
            </w:pPr>
            <w:r w:rsidRPr="00815FA1">
              <w:rPr>
                <w:sz w:val="22"/>
                <w:szCs w:val="22"/>
              </w:rPr>
              <w:t>Attended</w:t>
            </w:r>
          </w:p>
        </w:tc>
        <w:tc>
          <w:tcPr>
            <w:tcW w:w="1420" w:type="dxa"/>
            <w:tcBorders>
              <w:top w:val="single" w:sz="8" w:space="0" w:color="auto"/>
              <w:left w:val="nil"/>
              <w:bottom w:val="nil"/>
              <w:right w:val="single" w:sz="8" w:space="0" w:color="auto"/>
            </w:tcBorders>
            <w:shd w:val="clear" w:color="auto" w:fill="8DB3E2"/>
            <w:vAlign w:val="center"/>
          </w:tcPr>
          <w:p w:rsidR="00353ED4" w:rsidRPr="00815FA1" w:rsidRDefault="00353ED4" w:rsidP="00EC516F">
            <w:pPr>
              <w:spacing w:before="0" w:after="0" w:line="240" w:lineRule="auto"/>
              <w:rPr>
                <w:sz w:val="22"/>
                <w:szCs w:val="22"/>
              </w:rPr>
            </w:pPr>
            <w:r w:rsidRPr="00815FA1">
              <w:rPr>
                <w:sz w:val="22"/>
                <w:szCs w:val="22"/>
              </w:rPr>
              <w:t>Budget (in Nuevos Soles)</w:t>
            </w:r>
          </w:p>
        </w:tc>
      </w:tr>
      <w:tr w:rsidR="00353ED4" w:rsidRPr="00815FA1">
        <w:trPr>
          <w:trHeight w:val="300"/>
          <w:jc w:val="center"/>
        </w:trPr>
        <w:tc>
          <w:tcPr>
            <w:tcW w:w="2238" w:type="dxa"/>
            <w:tcBorders>
              <w:top w:val="single" w:sz="8" w:space="0" w:color="auto"/>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 xml:space="preserve">Hospital </w:t>
            </w:r>
          </w:p>
        </w:tc>
        <w:tc>
          <w:tcPr>
            <w:tcW w:w="199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609.8</w:t>
            </w:r>
          </w:p>
        </w:tc>
        <w:tc>
          <w:tcPr>
            <w:tcW w:w="152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3,326,078</w:t>
            </w:r>
          </w:p>
        </w:tc>
        <w:tc>
          <w:tcPr>
            <w:tcW w:w="1420" w:type="dxa"/>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2,028,273,206</w:t>
            </w:r>
          </w:p>
        </w:tc>
      </w:tr>
      <w:tr w:rsidR="00353ED4" w:rsidRPr="00815FA1">
        <w:trPr>
          <w:trHeight w:val="315"/>
          <w:jc w:val="center"/>
        </w:trPr>
        <w:tc>
          <w:tcPr>
            <w:tcW w:w="2238"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and Second Level</w:t>
            </w:r>
          </w:p>
        </w:tc>
        <w:tc>
          <w:tcPr>
            <w:tcW w:w="199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226.7</w:t>
            </w:r>
          </w:p>
        </w:tc>
        <w:tc>
          <w:tcPr>
            <w:tcW w:w="152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9,861,384</w:t>
            </w:r>
          </w:p>
        </w:tc>
        <w:tc>
          <w:tcPr>
            <w:tcW w:w="142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2,235,273,462</w:t>
            </w:r>
          </w:p>
        </w:tc>
      </w:tr>
      <w:tr w:rsidR="00353ED4" w:rsidRPr="00815FA1">
        <w:trPr>
          <w:trHeight w:val="315"/>
          <w:jc w:val="center"/>
        </w:trPr>
        <w:tc>
          <w:tcPr>
            <w:tcW w:w="2238" w:type="dxa"/>
            <w:tcBorders>
              <w:top w:val="single" w:sz="8" w:space="0" w:color="auto"/>
              <w:left w:val="single" w:sz="8"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rPr>
                <w:sz w:val="22"/>
                <w:szCs w:val="22"/>
              </w:rPr>
            </w:pPr>
            <w:r w:rsidRPr="00815FA1">
              <w:rPr>
                <w:sz w:val="22"/>
                <w:szCs w:val="22"/>
              </w:rPr>
              <w:t>TOTAL</w:t>
            </w:r>
          </w:p>
        </w:tc>
        <w:tc>
          <w:tcPr>
            <w:tcW w:w="199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323.3</w:t>
            </w:r>
          </w:p>
        </w:tc>
        <w:tc>
          <w:tcPr>
            <w:tcW w:w="152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13,187,462</w:t>
            </w:r>
          </w:p>
        </w:tc>
        <w:tc>
          <w:tcPr>
            <w:tcW w:w="1420" w:type="dxa"/>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rPr>
                <w:sz w:val="22"/>
                <w:szCs w:val="22"/>
              </w:rPr>
            </w:pPr>
            <w:r w:rsidRPr="00815FA1">
              <w:rPr>
                <w:sz w:val="22"/>
                <w:szCs w:val="22"/>
              </w:rPr>
              <w:t>4,263,546,668</w:t>
            </w:r>
          </w:p>
        </w:tc>
      </w:tr>
    </w:tbl>
    <w:p w:rsidR="00353ED4" w:rsidRPr="00815FA1" w:rsidRDefault="00353ED4" w:rsidP="003053A0">
      <w:pPr>
        <w:rPr>
          <w:sz w:val="22"/>
          <w:szCs w:val="22"/>
        </w:rPr>
      </w:pPr>
      <w:r w:rsidRPr="00815FA1">
        <w:rPr>
          <w:sz w:val="22"/>
          <w:szCs w:val="22"/>
        </w:rPr>
        <w:tab/>
        <w:t>Sources: HIS and SIAF</w:t>
      </w:r>
    </w:p>
    <w:p w:rsidR="00353ED4" w:rsidRPr="00815FA1" w:rsidRDefault="00353ED4" w:rsidP="006473AE">
      <w:pPr>
        <w:jc w:val="both"/>
        <w:rPr>
          <w:sz w:val="22"/>
          <w:szCs w:val="22"/>
        </w:rPr>
      </w:pPr>
      <w:r w:rsidRPr="00815FA1">
        <w:rPr>
          <w:sz w:val="22"/>
          <w:szCs w:val="22"/>
        </w:rPr>
        <w:t>The number of atten</w:t>
      </w:r>
      <w:r>
        <w:rPr>
          <w:sz w:val="22"/>
          <w:szCs w:val="22"/>
        </w:rPr>
        <w:t xml:space="preserve">tions </w:t>
      </w:r>
      <w:r w:rsidRPr="00815FA1">
        <w:rPr>
          <w:sz w:val="22"/>
          <w:szCs w:val="22"/>
        </w:rPr>
        <w:t>(including hospital discharges) sums up to over 13 million</w:t>
      </w:r>
      <w:r>
        <w:rPr>
          <w:sz w:val="22"/>
          <w:szCs w:val="22"/>
        </w:rPr>
        <w:t xml:space="preserve">. </w:t>
      </w:r>
      <w:r w:rsidRPr="00815FA1">
        <w:rPr>
          <w:sz w:val="22"/>
          <w:szCs w:val="22"/>
        </w:rPr>
        <w:t>The average subsidy is 323.3 Nuevos Soles (almost 110 dollars). While the subsidy for hospital attentions is 609.8 Nuevos Soles (almost 210 dollars), the health centers and posts subsidy is 226.7 Nuevos Soles (closer to 75 dollars) for attention.</w:t>
      </w:r>
    </w:p>
    <w:p w:rsidR="00353ED4" w:rsidRPr="00815FA1" w:rsidRDefault="00353ED4" w:rsidP="00A40E26">
      <w:pPr>
        <w:rPr>
          <w:sz w:val="22"/>
        </w:rPr>
      </w:pPr>
      <w:bookmarkStart w:id="80" w:name="_Ref247581933"/>
      <w:r>
        <w:rPr>
          <w:sz w:val="22"/>
        </w:rPr>
        <w:t>Table 31</w:t>
      </w:r>
      <w:r w:rsidRPr="00815FA1">
        <w:rPr>
          <w:sz w:val="22"/>
        </w:rPr>
        <w:t xml:space="preserve"> shows the distribution of attentions by </w:t>
      </w:r>
      <w:r w:rsidRPr="00A40E26">
        <w:rPr>
          <w:sz w:val="22"/>
        </w:rPr>
        <w:t>expenditure</w:t>
      </w:r>
      <w:r>
        <w:rPr>
          <w:sz w:val="22"/>
        </w:rPr>
        <w:t xml:space="preserve"> </w:t>
      </w:r>
      <w:r w:rsidRPr="00815FA1">
        <w:rPr>
          <w:sz w:val="22"/>
        </w:rPr>
        <w:t>quintiles</w:t>
      </w:r>
      <w:r>
        <w:rPr>
          <w:sz w:val="22"/>
        </w:rPr>
        <w:t>. Table 32</w:t>
      </w:r>
      <w:r w:rsidRPr="00815FA1">
        <w:rPr>
          <w:sz w:val="22"/>
        </w:rPr>
        <w:t xml:space="preserve"> shows the distribution </w:t>
      </w:r>
      <w:r>
        <w:rPr>
          <w:sz w:val="22"/>
        </w:rPr>
        <w:t xml:space="preserve">of benefits </w:t>
      </w:r>
      <w:r w:rsidRPr="00815FA1">
        <w:rPr>
          <w:sz w:val="22"/>
        </w:rPr>
        <w:t xml:space="preserve">by </w:t>
      </w:r>
      <w:r w:rsidRPr="00A40E26">
        <w:rPr>
          <w:sz w:val="22"/>
        </w:rPr>
        <w:t>expenditure</w:t>
      </w:r>
      <w:r>
        <w:rPr>
          <w:sz w:val="22"/>
        </w:rPr>
        <w:t xml:space="preserve"> </w:t>
      </w:r>
      <w:r w:rsidRPr="00815FA1">
        <w:rPr>
          <w:sz w:val="22"/>
        </w:rPr>
        <w:t>quintiles and facility levels</w:t>
      </w:r>
      <w:r>
        <w:rPr>
          <w:sz w:val="22"/>
        </w:rPr>
        <w:t xml:space="preserve">. </w:t>
      </w:r>
    </w:p>
    <w:p w:rsidR="00353ED4" w:rsidRPr="00815FA1" w:rsidRDefault="00353ED4" w:rsidP="00B86491">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31</w:t>
      </w:r>
      <w:r w:rsidRPr="00815FA1">
        <w:rPr>
          <w:b/>
          <w:sz w:val="22"/>
        </w:rPr>
        <w:fldChar w:fldCharType="end"/>
      </w:r>
      <w:r>
        <w:rPr>
          <w:b/>
          <w:sz w:val="22"/>
        </w:rPr>
        <w:t>: Estimated h</w:t>
      </w:r>
      <w:r w:rsidRPr="00815FA1">
        <w:rPr>
          <w:b/>
          <w:sz w:val="22"/>
        </w:rPr>
        <w:t xml:space="preserve">ealth </w:t>
      </w:r>
      <w:r>
        <w:rPr>
          <w:b/>
          <w:sz w:val="22"/>
        </w:rPr>
        <w:t>f</w:t>
      </w:r>
      <w:r w:rsidRPr="00815FA1">
        <w:rPr>
          <w:b/>
          <w:sz w:val="22"/>
        </w:rPr>
        <w:t xml:space="preserve">acility </w:t>
      </w:r>
      <w:r>
        <w:rPr>
          <w:b/>
          <w:sz w:val="22"/>
        </w:rPr>
        <w:t>u</w:t>
      </w:r>
      <w:r w:rsidRPr="00815FA1">
        <w:rPr>
          <w:b/>
          <w:sz w:val="22"/>
        </w:rPr>
        <w:t xml:space="preserve">sage by </w:t>
      </w:r>
      <w:r>
        <w:rPr>
          <w:b/>
          <w:sz w:val="22"/>
        </w:rPr>
        <w:t>e</w:t>
      </w:r>
      <w:r w:rsidRPr="00815FA1">
        <w:rPr>
          <w:b/>
          <w:sz w:val="22"/>
        </w:rPr>
        <w:t xml:space="preserve">xpenditure </w:t>
      </w:r>
      <w:r>
        <w:rPr>
          <w:b/>
          <w:sz w:val="22"/>
        </w:rPr>
        <w:t>q</w:t>
      </w:r>
      <w:r w:rsidRPr="00815FA1">
        <w:rPr>
          <w:b/>
          <w:sz w:val="22"/>
        </w:rPr>
        <w:t xml:space="preserve">uintile and </w:t>
      </w:r>
      <w:r>
        <w:rPr>
          <w:b/>
          <w:sz w:val="22"/>
        </w:rPr>
        <w:t>f</w:t>
      </w:r>
      <w:r w:rsidRPr="00815FA1">
        <w:rPr>
          <w:b/>
          <w:sz w:val="22"/>
        </w:rPr>
        <w:t>acility, 2008</w:t>
      </w:r>
    </w:p>
    <w:tbl>
      <w:tblPr>
        <w:tblW w:w="5000" w:type="pct"/>
        <w:jc w:val="center"/>
        <w:tblCellMar>
          <w:left w:w="70" w:type="dxa"/>
          <w:right w:w="70" w:type="dxa"/>
        </w:tblCellMar>
        <w:tblLook w:val="00A0" w:firstRow="1" w:lastRow="0" w:firstColumn="1" w:lastColumn="0" w:noHBand="0" w:noVBand="0"/>
      </w:tblPr>
      <w:tblGrid>
        <w:gridCol w:w="2931"/>
        <w:gridCol w:w="1197"/>
        <w:gridCol w:w="1190"/>
        <w:gridCol w:w="1190"/>
        <w:gridCol w:w="1190"/>
        <w:gridCol w:w="1280"/>
      </w:tblGrid>
      <w:tr w:rsidR="00353ED4" w:rsidRPr="00815FA1">
        <w:trPr>
          <w:trHeight w:val="392"/>
          <w:jc w:val="center"/>
        </w:trPr>
        <w:tc>
          <w:tcPr>
            <w:tcW w:w="1632" w:type="pct"/>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3368" w:type="pct"/>
            <w:gridSpan w:val="5"/>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jc w:val="center"/>
              <w:rPr>
                <w:sz w:val="22"/>
                <w:szCs w:val="22"/>
              </w:rPr>
            </w:pPr>
            <w:r w:rsidRPr="00815FA1">
              <w:rPr>
                <w:sz w:val="22"/>
                <w:szCs w:val="22"/>
              </w:rPr>
              <w:t>Expenditure Quintile</w:t>
            </w:r>
          </w:p>
        </w:tc>
      </w:tr>
      <w:tr w:rsidR="00353ED4" w:rsidRPr="00815FA1">
        <w:trPr>
          <w:trHeight w:val="392"/>
          <w:jc w:val="center"/>
        </w:trPr>
        <w:tc>
          <w:tcPr>
            <w:tcW w:w="1632" w:type="pct"/>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666" w:type="pct"/>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jc w:val="center"/>
              <w:rPr>
                <w:sz w:val="22"/>
                <w:szCs w:val="22"/>
              </w:rPr>
            </w:pPr>
            <w:r w:rsidRPr="00815FA1">
              <w:rPr>
                <w:sz w:val="22"/>
                <w:szCs w:val="22"/>
              </w:rPr>
              <w:t>1</w:t>
            </w:r>
          </w:p>
          <w:p w:rsidR="00353ED4" w:rsidRPr="00815FA1" w:rsidRDefault="00353ED4" w:rsidP="00EC516F">
            <w:pPr>
              <w:spacing w:before="0" w:after="0" w:line="240" w:lineRule="auto"/>
              <w:jc w:val="center"/>
              <w:rPr>
                <w:sz w:val="22"/>
                <w:szCs w:val="22"/>
              </w:rPr>
            </w:pPr>
            <w:r w:rsidRPr="00815FA1">
              <w:rPr>
                <w:sz w:val="22"/>
                <w:szCs w:val="22"/>
              </w:rPr>
              <w:t>(lowest)</w:t>
            </w:r>
          </w:p>
        </w:tc>
        <w:tc>
          <w:tcPr>
            <w:tcW w:w="66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2</w:t>
            </w:r>
          </w:p>
          <w:p w:rsidR="00353ED4" w:rsidRPr="00815FA1" w:rsidRDefault="00353ED4" w:rsidP="00EC516F">
            <w:pPr>
              <w:spacing w:before="0" w:after="0" w:line="240" w:lineRule="auto"/>
              <w:jc w:val="center"/>
              <w:rPr>
                <w:sz w:val="22"/>
                <w:szCs w:val="22"/>
              </w:rPr>
            </w:pPr>
          </w:p>
        </w:tc>
        <w:tc>
          <w:tcPr>
            <w:tcW w:w="66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3</w:t>
            </w:r>
          </w:p>
          <w:p w:rsidR="00353ED4" w:rsidRPr="00815FA1" w:rsidRDefault="00353ED4" w:rsidP="00EC516F">
            <w:pPr>
              <w:spacing w:before="0" w:after="0" w:line="240" w:lineRule="auto"/>
              <w:jc w:val="center"/>
              <w:rPr>
                <w:sz w:val="22"/>
                <w:szCs w:val="22"/>
              </w:rPr>
            </w:pPr>
          </w:p>
        </w:tc>
        <w:tc>
          <w:tcPr>
            <w:tcW w:w="663" w:type="pct"/>
            <w:tcBorders>
              <w:top w:val="single" w:sz="8" w:space="0" w:color="auto"/>
              <w:left w:val="single" w:sz="8" w:space="0" w:color="auto"/>
              <w:bottom w:val="single" w:sz="8" w:space="0" w:color="auto"/>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4</w:t>
            </w:r>
          </w:p>
          <w:p w:rsidR="00353ED4" w:rsidRPr="00815FA1" w:rsidRDefault="00353ED4" w:rsidP="00EC516F">
            <w:pPr>
              <w:spacing w:before="0" w:after="0" w:line="240" w:lineRule="auto"/>
              <w:jc w:val="center"/>
              <w:rPr>
                <w:sz w:val="22"/>
                <w:szCs w:val="22"/>
              </w:rPr>
            </w:pPr>
          </w:p>
        </w:tc>
        <w:tc>
          <w:tcPr>
            <w:tcW w:w="71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5</w:t>
            </w:r>
          </w:p>
          <w:p w:rsidR="00353ED4" w:rsidRPr="00815FA1" w:rsidRDefault="00353ED4" w:rsidP="00EC516F">
            <w:pPr>
              <w:spacing w:before="0" w:after="0" w:line="240" w:lineRule="auto"/>
              <w:jc w:val="center"/>
              <w:rPr>
                <w:sz w:val="22"/>
                <w:szCs w:val="22"/>
              </w:rPr>
            </w:pPr>
            <w:r w:rsidRPr="00815FA1">
              <w:rPr>
                <w:sz w:val="22"/>
                <w:szCs w:val="22"/>
              </w:rPr>
              <w:t>(highest)</w:t>
            </w:r>
          </w:p>
        </w:tc>
      </w:tr>
      <w:tr w:rsidR="00353ED4" w:rsidRPr="00815FA1">
        <w:trPr>
          <w:trHeight w:val="300"/>
          <w:jc w:val="center"/>
        </w:trPr>
        <w:tc>
          <w:tcPr>
            <w:tcW w:w="1632" w:type="pct"/>
            <w:tcBorders>
              <w:top w:val="single" w:sz="8" w:space="0" w:color="auto"/>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 xml:space="preserve">Hospital </w:t>
            </w:r>
          </w:p>
        </w:tc>
        <w:tc>
          <w:tcPr>
            <w:tcW w:w="666"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250,975</w:t>
            </w:r>
          </w:p>
        </w:tc>
        <w:tc>
          <w:tcPr>
            <w:tcW w:w="663"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534,844</w:t>
            </w:r>
          </w:p>
        </w:tc>
        <w:tc>
          <w:tcPr>
            <w:tcW w:w="663"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848,083</w:t>
            </w:r>
          </w:p>
        </w:tc>
        <w:tc>
          <w:tcPr>
            <w:tcW w:w="663" w:type="pct"/>
            <w:tcBorders>
              <w:top w:val="single" w:sz="8" w:space="0" w:color="auto"/>
              <w:left w:val="nil"/>
              <w:bottom w:val="nil"/>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842,513</w:t>
            </w:r>
          </w:p>
        </w:tc>
        <w:tc>
          <w:tcPr>
            <w:tcW w:w="713" w:type="pct"/>
            <w:tcBorders>
              <w:top w:val="single" w:sz="8" w:space="0" w:color="auto"/>
              <w:left w:val="single" w:sz="8" w:space="0" w:color="auto"/>
              <w:bottom w:val="nil"/>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849,663</w:t>
            </w:r>
          </w:p>
        </w:tc>
      </w:tr>
      <w:tr w:rsidR="00353ED4" w:rsidRPr="00815FA1">
        <w:trPr>
          <w:trHeight w:val="315"/>
          <w:jc w:val="center"/>
        </w:trPr>
        <w:tc>
          <w:tcPr>
            <w:tcW w:w="1632" w:type="pct"/>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and Second Level</w:t>
            </w:r>
          </w:p>
        </w:tc>
        <w:tc>
          <w:tcPr>
            <w:tcW w:w="666"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2,994,396</w:t>
            </w:r>
          </w:p>
        </w:tc>
        <w:tc>
          <w:tcPr>
            <w:tcW w:w="663"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2,751,181</w:t>
            </w:r>
          </w:p>
        </w:tc>
        <w:tc>
          <w:tcPr>
            <w:tcW w:w="663"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2,042,421</w:t>
            </w:r>
          </w:p>
        </w:tc>
        <w:tc>
          <w:tcPr>
            <w:tcW w:w="663" w:type="pct"/>
            <w:tcBorders>
              <w:top w:val="nil"/>
              <w:left w:val="nil"/>
              <w:bottom w:val="single" w:sz="8" w:space="0" w:color="auto"/>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1,452,805</w:t>
            </w:r>
          </w:p>
        </w:tc>
        <w:tc>
          <w:tcPr>
            <w:tcW w:w="713" w:type="pct"/>
            <w:tcBorders>
              <w:top w:val="nil"/>
              <w:left w:val="single" w:sz="8" w:space="0" w:color="auto"/>
              <w:bottom w:val="single" w:sz="8" w:space="0" w:color="auto"/>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671,342</w:t>
            </w:r>
          </w:p>
        </w:tc>
      </w:tr>
      <w:tr w:rsidR="00353ED4" w:rsidRPr="00815FA1">
        <w:trPr>
          <w:trHeight w:val="315"/>
          <w:jc w:val="center"/>
        </w:trPr>
        <w:tc>
          <w:tcPr>
            <w:tcW w:w="1632" w:type="pct"/>
            <w:tcBorders>
              <w:top w:val="single" w:sz="8" w:space="0" w:color="auto"/>
              <w:left w:val="single" w:sz="8"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rPr>
                <w:sz w:val="22"/>
                <w:szCs w:val="22"/>
              </w:rPr>
            </w:pPr>
            <w:r w:rsidRPr="00815FA1">
              <w:rPr>
                <w:sz w:val="22"/>
                <w:szCs w:val="22"/>
              </w:rPr>
              <w:t>TOTAL</w:t>
            </w:r>
          </w:p>
        </w:tc>
        <w:tc>
          <w:tcPr>
            <w:tcW w:w="666"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3,195,371</w:t>
            </w:r>
          </w:p>
        </w:tc>
        <w:tc>
          <w:tcPr>
            <w:tcW w:w="663"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3,286,025</w:t>
            </w:r>
          </w:p>
        </w:tc>
        <w:tc>
          <w:tcPr>
            <w:tcW w:w="663"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2,890,504</w:t>
            </w:r>
          </w:p>
        </w:tc>
        <w:tc>
          <w:tcPr>
            <w:tcW w:w="663" w:type="pct"/>
            <w:tcBorders>
              <w:top w:val="single" w:sz="8" w:space="0" w:color="auto"/>
              <w:left w:val="nil"/>
              <w:bottom w:val="single" w:sz="8" w:space="0" w:color="auto"/>
              <w:right w:val="single" w:sz="6" w:space="0" w:color="auto"/>
            </w:tcBorders>
            <w:shd w:val="clear" w:color="auto" w:fill="B6DDE8"/>
            <w:vAlign w:val="center"/>
          </w:tcPr>
          <w:p w:rsidR="00353ED4" w:rsidRPr="00815FA1" w:rsidRDefault="00353ED4" w:rsidP="00EC516F">
            <w:pPr>
              <w:spacing w:before="0" w:after="0" w:line="240" w:lineRule="auto"/>
              <w:jc w:val="right"/>
              <w:rPr>
                <w:sz w:val="22"/>
                <w:szCs w:val="22"/>
              </w:rPr>
            </w:pPr>
            <w:r w:rsidRPr="00815FA1">
              <w:rPr>
                <w:sz w:val="22"/>
                <w:szCs w:val="22"/>
              </w:rPr>
              <w:t>2,294,557</w:t>
            </w:r>
          </w:p>
        </w:tc>
        <w:tc>
          <w:tcPr>
            <w:tcW w:w="713" w:type="pct"/>
            <w:tcBorders>
              <w:top w:val="single" w:sz="8" w:space="0" w:color="auto"/>
              <w:left w:val="single" w:sz="6"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jc w:val="right"/>
              <w:rPr>
                <w:sz w:val="22"/>
                <w:szCs w:val="22"/>
              </w:rPr>
            </w:pPr>
            <w:r w:rsidRPr="00815FA1">
              <w:rPr>
                <w:sz w:val="22"/>
                <w:szCs w:val="22"/>
              </w:rPr>
              <w:t>1,521,005</w:t>
            </w:r>
          </w:p>
        </w:tc>
      </w:tr>
    </w:tbl>
    <w:p w:rsidR="00353ED4" w:rsidRPr="00815FA1" w:rsidRDefault="00353ED4" w:rsidP="006473AE">
      <w:pPr>
        <w:ind w:firstLine="708"/>
        <w:rPr>
          <w:b/>
          <w:sz w:val="22"/>
        </w:rPr>
      </w:pPr>
      <w:r w:rsidRPr="00815FA1">
        <w:rPr>
          <w:sz w:val="22"/>
          <w:szCs w:val="22"/>
        </w:rPr>
        <w:t>Sources: HIS and SIAF</w:t>
      </w:r>
    </w:p>
    <w:p w:rsidR="00353ED4" w:rsidRPr="00815FA1" w:rsidRDefault="00353ED4" w:rsidP="00B86491">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32</w:t>
      </w:r>
      <w:r w:rsidRPr="00815FA1">
        <w:rPr>
          <w:b/>
          <w:sz w:val="22"/>
        </w:rPr>
        <w:fldChar w:fldCharType="end"/>
      </w:r>
      <w:r w:rsidRPr="00815FA1">
        <w:rPr>
          <w:b/>
          <w:sz w:val="22"/>
        </w:rPr>
        <w:t xml:space="preserve">: Distribution of </w:t>
      </w:r>
      <w:r>
        <w:rPr>
          <w:b/>
          <w:sz w:val="22"/>
        </w:rPr>
        <w:t>b</w:t>
      </w:r>
      <w:r w:rsidRPr="00815FA1">
        <w:rPr>
          <w:b/>
          <w:sz w:val="22"/>
        </w:rPr>
        <w:t xml:space="preserve">enefits of </w:t>
      </w:r>
      <w:r>
        <w:rPr>
          <w:b/>
          <w:sz w:val="22"/>
        </w:rPr>
        <w:t>h</w:t>
      </w:r>
      <w:r w:rsidRPr="00815FA1">
        <w:rPr>
          <w:b/>
          <w:sz w:val="22"/>
        </w:rPr>
        <w:t xml:space="preserve">ealth </w:t>
      </w:r>
      <w:r>
        <w:rPr>
          <w:b/>
          <w:sz w:val="22"/>
        </w:rPr>
        <w:t>e</w:t>
      </w:r>
      <w:r w:rsidRPr="00815FA1">
        <w:rPr>
          <w:b/>
          <w:sz w:val="22"/>
        </w:rPr>
        <w:t xml:space="preserve">xpenditure by </w:t>
      </w:r>
      <w:r>
        <w:rPr>
          <w:b/>
          <w:sz w:val="22"/>
        </w:rPr>
        <w:t>e</w:t>
      </w:r>
      <w:r w:rsidRPr="00815FA1">
        <w:rPr>
          <w:b/>
          <w:sz w:val="22"/>
        </w:rPr>
        <w:t xml:space="preserve">xpenditure </w:t>
      </w:r>
      <w:r>
        <w:rPr>
          <w:b/>
          <w:sz w:val="22"/>
        </w:rPr>
        <w:t>q</w:t>
      </w:r>
      <w:r w:rsidRPr="00815FA1">
        <w:rPr>
          <w:b/>
          <w:sz w:val="22"/>
        </w:rPr>
        <w:t xml:space="preserve">uintiles and </w:t>
      </w:r>
      <w:r>
        <w:rPr>
          <w:b/>
          <w:sz w:val="22"/>
        </w:rPr>
        <w:t>f</w:t>
      </w:r>
      <w:r w:rsidRPr="00815FA1">
        <w:rPr>
          <w:b/>
          <w:sz w:val="22"/>
        </w:rPr>
        <w:t>acility, 2008</w:t>
      </w:r>
    </w:p>
    <w:tbl>
      <w:tblPr>
        <w:tblW w:w="5000" w:type="pct"/>
        <w:jc w:val="center"/>
        <w:tblCellMar>
          <w:left w:w="70" w:type="dxa"/>
          <w:right w:w="70" w:type="dxa"/>
        </w:tblCellMar>
        <w:tblLook w:val="00A0" w:firstRow="1" w:lastRow="0" w:firstColumn="1" w:lastColumn="0" w:noHBand="0" w:noVBand="0"/>
      </w:tblPr>
      <w:tblGrid>
        <w:gridCol w:w="2931"/>
        <w:gridCol w:w="1197"/>
        <w:gridCol w:w="1190"/>
        <w:gridCol w:w="1190"/>
        <w:gridCol w:w="1190"/>
        <w:gridCol w:w="1280"/>
      </w:tblGrid>
      <w:tr w:rsidR="00353ED4" w:rsidRPr="00815FA1">
        <w:trPr>
          <w:trHeight w:val="392"/>
          <w:jc w:val="center"/>
        </w:trPr>
        <w:tc>
          <w:tcPr>
            <w:tcW w:w="1632" w:type="pct"/>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3368" w:type="pct"/>
            <w:gridSpan w:val="5"/>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jc w:val="center"/>
              <w:rPr>
                <w:sz w:val="22"/>
                <w:szCs w:val="22"/>
              </w:rPr>
            </w:pPr>
            <w:r w:rsidRPr="00815FA1">
              <w:rPr>
                <w:sz w:val="22"/>
                <w:szCs w:val="22"/>
              </w:rPr>
              <w:t>Expenditure Quintile</w:t>
            </w:r>
          </w:p>
        </w:tc>
      </w:tr>
      <w:tr w:rsidR="00353ED4" w:rsidRPr="00815FA1">
        <w:trPr>
          <w:trHeight w:val="392"/>
          <w:jc w:val="center"/>
        </w:trPr>
        <w:tc>
          <w:tcPr>
            <w:tcW w:w="1632" w:type="pct"/>
            <w:tcBorders>
              <w:top w:val="nil"/>
              <w:left w:val="nil"/>
              <w:bottom w:val="nil"/>
              <w:right w:val="nil"/>
            </w:tcBorders>
            <w:noWrap/>
            <w:vAlign w:val="bottom"/>
          </w:tcPr>
          <w:p w:rsidR="00353ED4" w:rsidRPr="00815FA1" w:rsidRDefault="00353ED4" w:rsidP="00EC516F">
            <w:pPr>
              <w:spacing w:before="0" w:after="0" w:line="240" w:lineRule="auto"/>
              <w:rPr>
                <w:sz w:val="22"/>
                <w:szCs w:val="22"/>
              </w:rPr>
            </w:pPr>
          </w:p>
        </w:tc>
        <w:tc>
          <w:tcPr>
            <w:tcW w:w="666" w:type="pct"/>
            <w:tcBorders>
              <w:top w:val="single" w:sz="8" w:space="0" w:color="auto"/>
              <w:left w:val="single" w:sz="8" w:space="0" w:color="auto"/>
              <w:bottom w:val="nil"/>
              <w:right w:val="single" w:sz="8" w:space="0" w:color="auto"/>
            </w:tcBorders>
            <w:shd w:val="clear" w:color="auto" w:fill="8DB3E2"/>
            <w:noWrap/>
            <w:vAlign w:val="center"/>
          </w:tcPr>
          <w:p w:rsidR="00353ED4" w:rsidRPr="00815FA1" w:rsidRDefault="00353ED4" w:rsidP="00EC516F">
            <w:pPr>
              <w:spacing w:before="0" w:after="0" w:line="240" w:lineRule="auto"/>
              <w:jc w:val="center"/>
              <w:rPr>
                <w:sz w:val="22"/>
                <w:szCs w:val="22"/>
              </w:rPr>
            </w:pPr>
            <w:r w:rsidRPr="00815FA1">
              <w:rPr>
                <w:sz w:val="22"/>
                <w:szCs w:val="22"/>
              </w:rPr>
              <w:t>1</w:t>
            </w:r>
          </w:p>
          <w:p w:rsidR="00353ED4" w:rsidRPr="00815FA1" w:rsidRDefault="00353ED4" w:rsidP="00EC516F">
            <w:pPr>
              <w:spacing w:before="0" w:after="0" w:line="240" w:lineRule="auto"/>
              <w:jc w:val="center"/>
              <w:rPr>
                <w:sz w:val="22"/>
                <w:szCs w:val="22"/>
              </w:rPr>
            </w:pPr>
            <w:r w:rsidRPr="00815FA1">
              <w:rPr>
                <w:sz w:val="22"/>
                <w:szCs w:val="22"/>
              </w:rPr>
              <w:t>(lowest)</w:t>
            </w:r>
          </w:p>
        </w:tc>
        <w:tc>
          <w:tcPr>
            <w:tcW w:w="66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2</w:t>
            </w:r>
          </w:p>
          <w:p w:rsidR="00353ED4" w:rsidRPr="00815FA1" w:rsidRDefault="00353ED4" w:rsidP="00EC516F">
            <w:pPr>
              <w:spacing w:before="0" w:after="0" w:line="240" w:lineRule="auto"/>
              <w:jc w:val="center"/>
              <w:rPr>
                <w:sz w:val="22"/>
                <w:szCs w:val="22"/>
              </w:rPr>
            </w:pPr>
          </w:p>
        </w:tc>
        <w:tc>
          <w:tcPr>
            <w:tcW w:w="66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3</w:t>
            </w:r>
          </w:p>
          <w:p w:rsidR="00353ED4" w:rsidRPr="00815FA1" w:rsidRDefault="00353ED4" w:rsidP="00EC516F">
            <w:pPr>
              <w:spacing w:before="0" w:after="0" w:line="240" w:lineRule="auto"/>
              <w:jc w:val="center"/>
              <w:rPr>
                <w:sz w:val="22"/>
                <w:szCs w:val="22"/>
              </w:rPr>
            </w:pPr>
          </w:p>
        </w:tc>
        <w:tc>
          <w:tcPr>
            <w:tcW w:w="663" w:type="pct"/>
            <w:tcBorders>
              <w:top w:val="single" w:sz="8" w:space="0" w:color="auto"/>
              <w:left w:val="single" w:sz="8" w:space="0" w:color="auto"/>
              <w:bottom w:val="single" w:sz="8" w:space="0" w:color="auto"/>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4</w:t>
            </w:r>
          </w:p>
          <w:p w:rsidR="00353ED4" w:rsidRPr="00815FA1" w:rsidRDefault="00353ED4" w:rsidP="00EC516F">
            <w:pPr>
              <w:spacing w:before="0" w:after="0" w:line="240" w:lineRule="auto"/>
              <w:jc w:val="center"/>
              <w:rPr>
                <w:sz w:val="22"/>
                <w:szCs w:val="22"/>
              </w:rPr>
            </w:pPr>
          </w:p>
        </w:tc>
        <w:tc>
          <w:tcPr>
            <w:tcW w:w="713" w:type="pct"/>
            <w:tcBorders>
              <w:top w:val="single" w:sz="8" w:space="0" w:color="auto"/>
              <w:left w:val="single" w:sz="8" w:space="0" w:color="auto"/>
              <w:bottom w:val="nil"/>
              <w:right w:val="single" w:sz="8" w:space="0" w:color="auto"/>
            </w:tcBorders>
            <w:shd w:val="clear" w:color="auto" w:fill="8DB3E2"/>
            <w:vAlign w:val="center"/>
          </w:tcPr>
          <w:p w:rsidR="00353ED4" w:rsidRPr="00815FA1" w:rsidRDefault="00353ED4" w:rsidP="00EC516F">
            <w:pPr>
              <w:spacing w:before="0" w:after="0" w:line="240" w:lineRule="auto"/>
              <w:jc w:val="center"/>
              <w:rPr>
                <w:sz w:val="22"/>
                <w:szCs w:val="22"/>
              </w:rPr>
            </w:pPr>
            <w:r w:rsidRPr="00815FA1">
              <w:rPr>
                <w:sz w:val="22"/>
                <w:szCs w:val="22"/>
              </w:rPr>
              <w:t>5</w:t>
            </w:r>
          </w:p>
          <w:p w:rsidR="00353ED4" w:rsidRPr="00815FA1" w:rsidRDefault="00353ED4" w:rsidP="00EC516F">
            <w:pPr>
              <w:spacing w:before="0" w:after="0" w:line="240" w:lineRule="auto"/>
              <w:jc w:val="center"/>
              <w:rPr>
                <w:sz w:val="22"/>
                <w:szCs w:val="22"/>
              </w:rPr>
            </w:pPr>
            <w:r w:rsidRPr="00815FA1">
              <w:rPr>
                <w:sz w:val="22"/>
                <w:szCs w:val="22"/>
              </w:rPr>
              <w:t>(highest)</w:t>
            </w:r>
          </w:p>
        </w:tc>
      </w:tr>
      <w:tr w:rsidR="00353ED4" w:rsidRPr="00815FA1">
        <w:trPr>
          <w:trHeight w:val="300"/>
          <w:jc w:val="center"/>
        </w:trPr>
        <w:tc>
          <w:tcPr>
            <w:tcW w:w="1632" w:type="pct"/>
            <w:tcBorders>
              <w:top w:val="single" w:sz="8" w:space="0" w:color="auto"/>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 xml:space="preserve">Hospital </w:t>
            </w:r>
          </w:p>
        </w:tc>
        <w:tc>
          <w:tcPr>
            <w:tcW w:w="666"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7.55%</w:t>
            </w:r>
          </w:p>
        </w:tc>
        <w:tc>
          <w:tcPr>
            <w:tcW w:w="663"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16.08%</w:t>
            </w:r>
          </w:p>
        </w:tc>
        <w:tc>
          <w:tcPr>
            <w:tcW w:w="663" w:type="pct"/>
            <w:tcBorders>
              <w:top w:val="single" w:sz="8" w:space="0" w:color="auto"/>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25.50%</w:t>
            </w:r>
          </w:p>
        </w:tc>
        <w:tc>
          <w:tcPr>
            <w:tcW w:w="663" w:type="pct"/>
            <w:tcBorders>
              <w:top w:val="single" w:sz="8" w:space="0" w:color="auto"/>
              <w:left w:val="nil"/>
              <w:bottom w:val="nil"/>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25.33%</w:t>
            </w:r>
          </w:p>
        </w:tc>
        <w:tc>
          <w:tcPr>
            <w:tcW w:w="713" w:type="pct"/>
            <w:tcBorders>
              <w:top w:val="single" w:sz="8" w:space="0" w:color="auto"/>
              <w:left w:val="single" w:sz="8" w:space="0" w:color="auto"/>
              <w:bottom w:val="nil"/>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25.55%</w:t>
            </w:r>
          </w:p>
        </w:tc>
      </w:tr>
      <w:tr w:rsidR="00353ED4" w:rsidRPr="00815FA1">
        <w:trPr>
          <w:trHeight w:val="315"/>
          <w:jc w:val="center"/>
        </w:trPr>
        <w:tc>
          <w:tcPr>
            <w:tcW w:w="1632" w:type="pct"/>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and Second Level</w:t>
            </w:r>
          </w:p>
        </w:tc>
        <w:tc>
          <w:tcPr>
            <w:tcW w:w="666"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29.86%</w:t>
            </w:r>
          </w:p>
        </w:tc>
        <w:tc>
          <w:tcPr>
            <w:tcW w:w="663"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27.90%</w:t>
            </w:r>
          </w:p>
        </w:tc>
        <w:tc>
          <w:tcPr>
            <w:tcW w:w="663" w:type="pct"/>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20.71%</w:t>
            </w:r>
          </w:p>
        </w:tc>
        <w:tc>
          <w:tcPr>
            <w:tcW w:w="663" w:type="pct"/>
            <w:tcBorders>
              <w:top w:val="nil"/>
              <w:left w:val="nil"/>
              <w:bottom w:val="single" w:sz="8" w:space="0" w:color="auto"/>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14.72%</w:t>
            </w:r>
          </w:p>
        </w:tc>
        <w:tc>
          <w:tcPr>
            <w:tcW w:w="713" w:type="pct"/>
            <w:tcBorders>
              <w:top w:val="nil"/>
              <w:left w:val="single" w:sz="8" w:space="0" w:color="auto"/>
              <w:bottom w:val="single" w:sz="8" w:space="0" w:color="auto"/>
              <w:right w:val="single" w:sz="8" w:space="0" w:color="auto"/>
            </w:tcBorders>
            <w:vAlign w:val="center"/>
          </w:tcPr>
          <w:p w:rsidR="00353ED4" w:rsidRPr="00815FA1" w:rsidRDefault="00353ED4" w:rsidP="00EC516F">
            <w:pPr>
              <w:spacing w:before="0" w:after="0" w:line="240" w:lineRule="auto"/>
              <w:jc w:val="right"/>
              <w:rPr>
                <w:sz w:val="22"/>
                <w:szCs w:val="22"/>
              </w:rPr>
            </w:pPr>
            <w:r w:rsidRPr="00815FA1">
              <w:rPr>
                <w:sz w:val="22"/>
                <w:szCs w:val="22"/>
              </w:rPr>
              <w:t>6.81%</w:t>
            </w:r>
          </w:p>
        </w:tc>
      </w:tr>
      <w:tr w:rsidR="00353ED4" w:rsidRPr="00815FA1">
        <w:trPr>
          <w:trHeight w:val="315"/>
          <w:jc w:val="center"/>
        </w:trPr>
        <w:tc>
          <w:tcPr>
            <w:tcW w:w="1632" w:type="pct"/>
            <w:tcBorders>
              <w:top w:val="single" w:sz="8" w:space="0" w:color="auto"/>
              <w:left w:val="single" w:sz="8"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rPr>
                <w:sz w:val="22"/>
                <w:szCs w:val="22"/>
              </w:rPr>
            </w:pPr>
            <w:r w:rsidRPr="00815FA1">
              <w:rPr>
                <w:sz w:val="22"/>
                <w:szCs w:val="22"/>
              </w:rPr>
              <w:t>TOTAL</w:t>
            </w:r>
          </w:p>
        </w:tc>
        <w:tc>
          <w:tcPr>
            <w:tcW w:w="666"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19.24%</w:t>
            </w:r>
          </w:p>
        </w:tc>
        <w:tc>
          <w:tcPr>
            <w:tcW w:w="663"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22.28%</w:t>
            </w:r>
          </w:p>
        </w:tc>
        <w:tc>
          <w:tcPr>
            <w:tcW w:w="663" w:type="pct"/>
            <w:tcBorders>
              <w:top w:val="single" w:sz="8" w:space="0" w:color="auto"/>
              <w:left w:val="nil"/>
              <w:bottom w:val="single" w:sz="8" w:space="0" w:color="auto"/>
              <w:right w:val="single" w:sz="8" w:space="0" w:color="auto"/>
            </w:tcBorders>
            <w:shd w:val="clear" w:color="auto" w:fill="B6DDE8"/>
            <w:noWrap/>
            <w:vAlign w:val="center"/>
          </w:tcPr>
          <w:p w:rsidR="00353ED4" w:rsidRPr="00815FA1" w:rsidRDefault="00353ED4" w:rsidP="00EC516F">
            <w:pPr>
              <w:spacing w:before="0" w:after="0" w:line="240" w:lineRule="auto"/>
              <w:jc w:val="right"/>
              <w:rPr>
                <w:sz w:val="22"/>
                <w:szCs w:val="22"/>
              </w:rPr>
            </w:pPr>
            <w:r w:rsidRPr="00815FA1">
              <w:rPr>
                <w:sz w:val="22"/>
                <w:szCs w:val="22"/>
              </w:rPr>
              <w:t>22.99%</w:t>
            </w:r>
          </w:p>
        </w:tc>
        <w:tc>
          <w:tcPr>
            <w:tcW w:w="663" w:type="pct"/>
            <w:tcBorders>
              <w:top w:val="single" w:sz="8" w:space="0" w:color="auto"/>
              <w:left w:val="nil"/>
              <w:bottom w:val="single" w:sz="8" w:space="0" w:color="auto"/>
              <w:right w:val="single" w:sz="6" w:space="0" w:color="auto"/>
            </w:tcBorders>
            <w:shd w:val="clear" w:color="auto" w:fill="B6DDE8"/>
            <w:vAlign w:val="center"/>
          </w:tcPr>
          <w:p w:rsidR="00353ED4" w:rsidRPr="00815FA1" w:rsidRDefault="00353ED4" w:rsidP="00EC516F">
            <w:pPr>
              <w:spacing w:before="0" w:after="0" w:line="240" w:lineRule="auto"/>
              <w:jc w:val="right"/>
              <w:rPr>
                <w:sz w:val="22"/>
                <w:szCs w:val="22"/>
              </w:rPr>
            </w:pPr>
            <w:r w:rsidRPr="00815FA1">
              <w:rPr>
                <w:sz w:val="22"/>
                <w:szCs w:val="22"/>
              </w:rPr>
              <w:t>19.77%</w:t>
            </w:r>
          </w:p>
        </w:tc>
        <w:tc>
          <w:tcPr>
            <w:tcW w:w="713" w:type="pct"/>
            <w:tcBorders>
              <w:top w:val="single" w:sz="8" w:space="0" w:color="auto"/>
              <w:left w:val="single" w:sz="6" w:space="0" w:color="auto"/>
              <w:bottom w:val="single" w:sz="8" w:space="0" w:color="auto"/>
              <w:right w:val="single" w:sz="8" w:space="0" w:color="auto"/>
            </w:tcBorders>
            <w:shd w:val="clear" w:color="auto" w:fill="B6DDE8"/>
            <w:vAlign w:val="center"/>
          </w:tcPr>
          <w:p w:rsidR="00353ED4" w:rsidRPr="00815FA1" w:rsidRDefault="00353ED4" w:rsidP="00EC516F">
            <w:pPr>
              <w:spacing w:before="0" w:after="0" w:line="240" w:lineRule="auto"/>
              <w:jc w:val="right"/>
              <w:rPr>
                <w:sz w:val="22"/>
                <w:szCs w:val="22"/>
              </w:rPr>
            </w:pPr>
            <w:r w:rsidRPr="00815FA1">
              <w:rPr>
                <w:sz w:val="22"/>
                <w:szCs w:val="22"/>
              </w:rPr>
              <w:t>15.72%</w:t>
            </w:r>
          </w:p>
        </w:tc>
      </w:tr>
    </w:tbl>
    <w:p w:rsidR="00353ED4" w:rsidRPr="00815FA1" w:rsidRDefault="00353ED4" w:rsidP="006473AE">
      <w:pPr>
        <w:ind w:firstLine="708"/>
        <w:rPr>
          <w:sz w:val="22"/>
          <w:szCs w:val="22"/>
        </w:rPr>
      </w:pPr>
      <w:r w:rsidRPr="00815FA1">
        <w:rPr>
          <w:sz w:val="22"/>
          <w:szCs w:val="22"/>
        </w:rPr>
        <w:t>Sources: HIS and SIAF</w:t>
      </w:r>
    </w:p>
    <w:p w:rsidR="00353ED4" w:rsidRPr="00815FA1" w:rsidRDefault="00353ED4" w:rsidP="00A40E26">
      <w:pPr>
        <w:rPr>
          <w:sz w:val="22"/>
          <w:szCs w:val="22"/>
        </w:rPr>
      </w:pPr>
      <w:r>
        <w:rPr>
          <w:sz w:val="22"/>
          <w:szCs w:val="22"/>
        </w:rPr>
        <w:t xml:space="preserve">Even though the number of attentions and the distribution of benefits appear to be regressive, meaning that poor population is benefiting more than the richer, </w:t>
      </w:r>
      <w:r w:rsidRPr="00815FA1">
        <w:rPr>
          <w:sz w:val="22"/>
          <w:szCs w:val="22"/>
        </w:rPr>
        <w:t xml:space="preserve">Tables </w:t>
      </w:r>
      <w:r>
        <w:rPr>
          <w:sz w:val="22"/>
          <w:szCs w:val="22"/>
        </w:rPr>
        <w:t>31</w:t>
      </w:r>
      <w:r w:rsidRPr="00815FA1">
        <w:rPr>
          <w:sz w:val="22"/>
          <w:szCs w:val="22"/>
        </w:rPr>
        <w:t xml:space="preserve"> and </w:t>
      </w:r>
      <w:r>
        <w:rPr>
          <w:sz w:val="22"/>
          <w:szCs w:val="22"/>
        </w:rPr>
        <w:t>32</w:t>
      </w:r>
      <w:r w:rsidRPr="00815FA1">
        <w:rPr>
          <w:sz w:val="22"/>
          <w:szCs w:val="22"/>
        </w:rPr>
        <w:t xml:space="preserve"> show </w:t>
      </w:r>
      <w:r>
        <w:rPr>
          <w:sz w:val="22"/>
          <w:szCs w:val="22"/>
        </w:rPr>
        <w:t xml:space="preserve">and important difference when consider hospital versus first and second level </w:t>
      </w:r>
      <w:r w:rsidRPr="00815FA1">
        <w:rPr>
          <w:sz w:val="22"/>
          <w:szCs w:val="22"/>
        </w:rPr>
        <w:t xml:space="preserve">facilities. While the </w:t>
      </w:r>
      <w:r>
        <w:rPr>
          <w:sz w:val="22"/>
          <w:szCs w:val="22"/>
        </w:rPr>
        <w:t>a</w:t>
      </w:r>
      <w:r w:rsidRPr="00815FA1">
        <w:rPr>
          <w:sz w:val="22"/>
          <w:szCs w:val="22"/>
        </w:rPr>
        <w:t xml:space="preserve">ttentions and the amount spent are regressive </w:t>
      </w:r>
      <w:r>
        <w:rPr>
          <w:sz w:val="22"/>
          <w:szCs w:val="22"/>
        </w:rPr>
        <w:t xml:space="preserve">in the simplest levels of attention, </w:t>
      </w:r>
      <w:r w:rsidRPr="00815FA1">
        <w:rPr>
          <w:sz w:val="22"/>
          <w:szCs w:val="22"/>
        </w:rPr>
        <w:t>for hospitals</w:t>
      </w:r>
      <w:r>
        <w:rPr>
          <w:sz w:val="22"/>
          <w:szCs w:val="22"/>
        </w:rPr>
        <w:t xml:space="preserve"> the situation varies; the attentions and the distribution of benefits appear to be </w:t>
      </w:r>
      <w:r w:rsidRPr="00815FA1">
        <w:rPr>
          <w:sz w:val="22"/>
          <w:szCs w:val="22"/>
        </w:rPr>
        <w:t>progressive</w:t>
      </w:r>
      <w:r>
        <w:rPr>
          <w:sz w:val="22"/>
          <w:szCs w:val="22"/>
        </w:rPr>
        <w:t xml:space="preserve">. </w:t>
      </w:r>
      <w:r w:rsidRPr="00815FA1">
        <w:rPr>
          <w:sz w:val="22"/>
          <w:szCs w:val="22"/>
        </w:rPr>
        <w:t xml:space="preserve">This is probably due to the </w:t>
      </w:r>
      <w:r>
        <w:rPr>
          <w:sz w:val="22"/>
          <w:szCs w:val="22"/>
        </w:rPr>
        <w:t xml:space="preserve">fact that most </w:t>
      </w:r>
      <w:r w:rsidRPr="00815FA1">
        <w:rPr>
          <w:sz w:val="22"/>
          <w:szCs w:val="22"/>
        </w:rPr>
        <w:t xml:space="preserve">hospitals are located in urban areas, </w:t>
      </w:r>
      <w:r>
        <w:rPr>
          <w:sz w:val="22"/>
          <w:szCs w:val="22"/>
        </w:rPr>
        <w:t xml:space="preserve">while </w:t>
      </w:r>
      <w:r w:rsidRPr="00815FA1">
        <w:rPr>
          <w:sz w:val="22"/>
          <w:szCs w:val="22"/>
        </w:rPr>
        <w:t xml:space="preserve">first and second level facilities are both in rural and urban areas. This difference implicates that hospitals are used by the much higher income inhabitants of the urban areas, and by contrast, health posts and centers attend the poorer population which lives in rural areas. </w:t>
      </w:r>
    </w:p>
    <w:bookmarkEnd w:id="80"/>
    <w:p w:rsidR="00353ED4" w:rsidRPr="00815FA1" w:rsidRDefault="00353ED4" w:rsidP="00A40E26">
      <w:pPr>
        <w:rPr>
          <w:sz w:val="22"/>
          <w:szCs w:val="22"/>
        </w:rPr>
      </w:pPr>
      <w:r w:rsidRPr="00491E73">
        <w:rPr>
          <w:sz w:val="22"/>
          <w:szCs w:val="22"/>
        </w:rPr>
        <w:t>Table 3</w:t>
      </w:r>
      <w:r>
        <w:rPr>
          <w:sz w:val="22"/>
          <w:szCs w:val="22"/>
        </w:rPr>
        <w:t xml:space="preserve">3 presents </w:t>
      </w:r>
      <w:r w:rsidRPr="00815FA1">
        <w:rPr>
          <w:sz w:val="22"/>
          <w:szCs w:val="22"/>
        </w:rPr>
        <w:t xml:space="preserve">the disaggregation </w:t>
      </w:r>
      <w:r>
        <w:rPr>
          <w:sz w:val="22"/>
          <w:szCs w:val="22"/>
        </w:rPr>
        <w:t xml:space="preserve">by expenditure </w:t>
      </w:r>
      <w:r w:rsidRPr="00815FA1">
        <w:rPr>
          <w:sz w:val="22"/>
          <w:szCs w:val="22"/>
        </w:rPr>
        <w:t xml:space="preserve">quintiles for the SIS insurance program. </w:t>
      </w:r>
    </w:p>
    <w:p w:rsidR="00353ED4" w:rsidRPr="00815FA1" w:rsidRDefault="00353ED4" w:rsidP="00A40E26">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33</w:t>
      </w:r>
      <w:r w:rsidRPr="00815FA1">
        <w:rPr>
          <w:b/>
          <w:sz w:val="22"/>
        </w:rPr>
        <w:fldChar w:fldCharType="end"/>
      </w:r>
      <w:r w:rsidRPr="00815FA1">
        <w:rPr>
          <w:b/>
          <w:sz w:val="22"/>
        </w:rPr>
        <w:t xml:space="preserve">: SIS per user expenditure </w:t>
      </w:r>
      <w:r w:rsidRPr="00A40E26">
        <w:rPr>
          <w:b/>
          <w:sz w:val="22"/>
        </w:rPr>
        <w:t>by expenditure</w:t>
      </w:r>
      <w:r>
        <w:rPr>
          <w:sz w:val="22"/>
          <w:szCs w:val="22"/>
        </w:rPr>
        <w:t xml:space="preserve"> </w:t>
      </w:r>
      <w:r w:rsidRPr="00815FA1">
        <w:rPr>
          <w:b/>
          <w:sz w:val="22"/>
        </w:rPr>
        <w:t xml:space="preserve">quintiles in </w:t>
      </w:r>
      <w:r>
        <w:rPr>
          <w:b/>
          <w:sz w:val="22"/>
        </w:rPr>
        <w:t>N</w:t>
      </w:r>
      <w:r w:rsidRPr="00815FA1">
        <w:rPr>
          <w:b/>
          <w:sz w:val="22"/>
        </w:rPr>
        <w:t>uevos Soles, 2008</w:t>
      </w:r>
    </w:p>
    <w:tbl>
      <w:tblPr>
        <w:tblW w:w="5097" w:type="dxa"/>
        <w:jc w:val="center"/>
        <w:tblCellMar>
          <w:left w:w="70" w:type="dxa"/>
          <w:right w:w="70" w:type="dxa"/>
        </w:tblCellMar>
        <w:tblLook w:val="00A0" w:firstRow="1" w:lastRow="0" w:firstColumn="1" w:lastColumn="0" w:noHBand="0" w:noVBand="0"/>
      </w:tblPr>
      <w:tblGrid>
        <w:gridCol w:w="2597"/>
        <w:gridCol w:w="1300"/>
        <w:gridCol w:w="1200"/>
      </w:tblGrid>
      <w:tr w:rsidR="00353ED4" w:rsidRPr="00815FA1">
        <w:trPr>
          <w:trHeight w:val="615"/>
          <w:jc w:val="center"/>
        </w:trPr>
        <w:tc>
          <w:tcPr>
            <w:tcW w:w="2597" w:type="dxa"/>
            <w:tcBorders>
              <w:top w:val="single" w:sz="8" w:space="0" w:color="auto"/>
              <w:left w:val="single" w:sz="8" w:space="0" w:color="auto"/>
              <w:bottom w:val="single" w:sz="8" w:space="0" w:color="auto"/>
              <w:right w:val="single" w:sz="8" w:space="0" w:color="auto"/>
            </w:tcBorders>
            <w:shd w:val="clear" w:color="000000" w:fill="8DB4E3"/>
            <w:noWrap/>
            <w:vAlign w:val="bottom"/>
          </w:tcPr>
          <w:p w:rsidR="00353ED4" w:rsidRPr="00815FA1" w:rsidRDefault="00353ED4" w:rsidP="00EC516F">
            <w:pPr>
              <w:spacing w:before="0" w:after="0" w:line="240" w:lineRule="auto"/>
              <w:rPr>
                <w:sz w:val="22"/>
                <w:szCs w:val="22"/>
              </w:rPr>
            </w:pPr>
            <w:r w:rsidRPr="00815FA1">
              <w:rPr>
                <w:sz w:val="22"/>
                <w:szCs w:val="22"/>
              </w:rPr>
              <w:t> </w:t>
            </w:r>
          </w:p>
        </w:tc>
        <w:tc>
          <w:tcPr>
            <w:tcW w:w="1300" w:type="dxa"/>
            <w:tcBorders>
              <w:top w:val="single" w:sz="8" w:space="0" w:color="auto"/>
              <w:left w:val="nil"/>
              <w:bottom w:val="single" w:sz="8" w:space="0" w:color="auto"/>
              <w:right w:val="single" w:sz="4" w:space="0" w:color="auto"/>
            </w:tcBorders>
            <w:shd w:val="clear" w:color="000000" w:fill="8DB4E3"/>
            <w:vAlign w:val="bottom"/>
          </w:tcPr>
          <w:p w:rsidR="00353ED4" w:rsidRPr="00815FA1" w:rsidRDefault="00353ED4" w:rsidP="00EC516F">
            <w:pPr>
              <w:spacing w:before="0" w:after="0" w:line="240" w:lineRule="auto"/>
              <w:rPr>
                <w:sz w:val="22"/>
                <w:szCs w:val="22"/>
              </w:rPr>
            </w:pPr>
            <w:r w:rsidRPr="00815FA1">
              <w:rPr>
                <w:sz w:val="22"/>
                <w:szCs w:val="22"/>
              </w:rPr>
              <w:t>Per user expenditure</w:t>
            </w:r>
          </w:p>
        </w:tc>
        <w:tc>
          <w:tcPr>
            <w:tcW w:w="1200" w:type="dxa"/>
            <w:tcBorders>
              <w:top w:val="single" w:sz="8" w:space="0" w:color="auto"/>
              <w:left w:val="nil"/>
              <w:bottom w:val="single" w:sz="8" w:space="0" w:color="auto"/>
              <w:right w:val="single" w:sz="8" w:space="0" w:color="auto"/>
            </w:tcBorders>
            <w:shd w:val="clear" w:color="000000" w:fill="8DB4E3"/>
            <w:vAlign w:val="bottom"/>
          </w:tcPr>
          <w:p w:rsidR="00353ED4" w:rsidRPr="00815FA1" w:rsidRDefault="00353ED4" w:rsidP="00EC516F">
            <w:pPr>
              <w:spacing w:before="0" w:after="0" w:line="240" w:lineRule="auto"/>
              <w:rPr>
                <w:sz w:val="22"/>
                <w:szCs w:val="22"/>
              </w:rPr>
            </w:pPr>
            <w:r w:rsidRPr="00815FA1">
              <w:rPr>
                <w:sz w:val="22"/>
                <w:szCs w:val="22"/>
              </w:rPr>
              <w:t>Estimated attentions</w:t>
            </w:r>
          </w:p>
        </w:tc>
      </w:tr>
      <w:tr w:rsidR="00353ED4" w:rsidRPr="00815FA1">
        <w:trPr>
          <w:trHeight w:val="300"/>
          <w:jc w:val="center"/>
        </w:trPr>
        <w:tc>
          <w:tcPr>
            <w:tcW w:w="2597"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EC516F">
            <w:pPr>
              <w:spacing w:before="0" w:after="0" w:line="240" w:lineRule="auto"/>
              <w:rPr>
                <w:sz w:val="22"/>
                <w:szCs w:val="22"/>
              </w:rPr>
            </w:pPr>
            <w:r w:rsidRPr="00815FA1">
              <w:rPr>
                <w:sz w:val="22"/>
                <w:szCs w:val="22"/>
              </w:rPr>
              <w:t xml:space="preserve">SIS </w:t>
            </w:r>
          </w:p>
        </w:tc>
        <w:tc>
          <w:tcPr>
            <w:tcW w:w="1300" w:type="dxa"/>
            <w:tcBorders>
              <w:top w:val="nil"/>
              <w:left w:val="nil"/>
              <w:bottom w:val="nil"/>
              <w:right w:val="single" w:sz="4" w:space="0" w:color="auto"/>
            </w:tcBorders>
            <w:shd w:val="clear" w:color="000000" w:fill="DBE5F1"/>
            <w:noWrap/>
            <w:vAlign w:val="bottom"/>
          </w:tcPr>
          <w:p w:rsidR="00353ED4" w:rsidRPr="00815FA1" w:rsidRDefault="00353ED4" w:rsidP="00EC516F">
            <w:pPr>
              <w:spacing w:before="0" w:after="0" w:line="240" w:lineRule="auto"/>
              <w:rPr>
                <w:sz w:val="22"/>
                <w:szCs w:val="22"/>
              </w:rPr>
            </w:pPr>
            <w:r w:rsidRPr="00815FA1">
              <w:rPr>
                <w:sz w:val="22"/>
                <w:szCs w:val="22"/>
              </w:rPr>
              <w:t>175</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EC516F">
            <w:pPr>
              <w:spacing w:before="0" w:after="0" w:line="240" w:lineRule="auto"/>
              <w:jc w:val="right"/>
              <w:rPr>
                <w:sz w:val="22"/>
                <w:szCs w:val="22"/>
              </w:rPr>
            </w:pPr>
            <w:r w:rsidRPr="00815FA1">
              <w:rPr>
                <w:sz w:val="22"/>
                <w:szCs w:val="22"/>
              </w:rPr>
              <w:t>5,800,831</w:t>
            </w:r>
          </w:p>
        </w:tc>
      </w:tr>
      <w:tr w:rsidR="00353ED4" w:rsidRPr="00815FA1">
        <w:trPr>
          <w:trHeight w:val="300"/>
          <w:jc w:val="center"/>
        </w:trPr>
        <w:tc>
          <w:tcPr>
            <w:tcW w:w="2597"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Quintile</w:t>
            </w:r>
          </w:p>
        </w:tc>
        <w:tc>
          <w:tcPr>
            <w:tcW w:w="1300" w:type="dxa"/>
            <w:tcBorders>
              <w:top w:val="nil"/>
              <w:left w:val="nil"/>
              <w:bottom w:val="nil"/>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108</w:t>
            </w:r>
          </w:p>
        </w:tc>
        <w:tc>
          <w:tcPr>
            <w:tcW w:w="1200"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2,412,514</w:t>
            </w:r>
          </w:p>
        </w:tc>
      </w:tr>
      <w:tr w:rsidR="00353ED4" w:rsidRPr="00815FA1">
        <w:trPr>
          <w:trHeight w:val="300"/>
          <w:jc w:val="center"/>
        </w:trPr>
        <w:tc>
          <w:tcPr>
            <w:tcW w:w="2597"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Second Quintile</w:t>
            </w:r>
          </w:p>
        </w:tc>
        <w:tc>
          <w:tcPr>
            <w:tcW w:w="1300" w:type="dxa"/>
            <w:tcBorders>
              <w:top w:val="nil"/>
              <w:left w:val="nil"/>
              <w:bottom w:val="nil"/>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165</w:t>
            </w:r>
          </w:p>
        </w:tc>
        <w:tc>
          <w:tcPr>
            <w:tcW w:w="1200"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1,692,496</w:t>
            </w:r>
          </w:p>
        </w:tc>
      </w:tr>
      <w:tr w:rsidR="00353ED4" w:rsidRPr="00815FA1">
        <w:trPr>
          <w:trHeight w:val="300"/>
          <w:jc w:val="center"/>
        </w:trPr>
        <w:tc>
          <w:tcPr>
            <w:tcW w:w="2597"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Third Quintile</w:t>
            </w:r>
          </w:p>
        </w:tc>
        <w:tc>
          <w:tcPr>
            <w:tcW w:w="1300" w:type="dxa"/>
            <w:tcBorders>
              <w:top w:val="nil"/>
              <w:left w:val="nil"/>
              <w:bottom w:val="nil"/>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211</w:t>
            </w:r>
          </w:p>
        </w:tc>
        <w:tc>
          <w:tcPr>
            <w:tcW w:w="1200"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1,030,379</w:t>
            </w:r>
          </w:p>
        </w:tc>
      </w:tr>
      <w:tr w:rsidR="00353ED4" w:rsidRPr="00815FA1">
        <w:trPr>
          <w:trHeight w:val="315"/>
          <w:jc w:val="center"/>
        </w:trPr>
        <w:tc>
          <w:tcPr>
            <w:tcW w:w="2597"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Fourth Quintile</w:t>
            </w:r>
          </w:p>
        </w:tc>
        <w:tc>
          <w:tcPr>
            <w:tcW w:w="1300" w:type="dxa"/>
            <w:tcBorders>
              <w:top w:val="nil"/>
              <w:left w:val="nil"/>
              <w:bottom w:val="nil"/>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303</w:t>
            </w:r>
          </w:p>
        </w:tc>
        <w:tc>
          <w:tcPr>
            <w:tcW w:w="1200"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496,223</w:t>
            </w:r>
          </w:p>
        </w:tc>
      </w:tr>
      <w:tr w:rsidR="00353ED4" w:rsidRPr="00815FA1">
        <w:trPr>
          <w:trHeight w:val="315"/>
          <w:jc w:val="center"/>
        </w:trPr>
        <w:tc>
          <w:tcPr>
            <w:tcW w:w="2597" w:type="dxa"/>
            <w:tcBorders>
              <w:top w:val="nil"/>
              <w:left w:val="single" w:sz="8" w:space="0" w:color="auto"/>
              <w:bottom w:val="single" w:sz="8" w:space="0" w:color="auto"/>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Fifth Quintile</w:t>
            </w:r>
          </w:p>
        </w:tc>
        <w:tc>
          <w:tcPr>
            <w:tcW w:w="1300" w:type="dxa"/>
            <w:tcBorders>
              <w:top w:val="nil"/>
              <w:left w:val="nil"/>
              <w:bottom w:val="single" w:sz="8" w:space="0" w:color="auto"/>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640</w:t>
            </w:r>
          </w:p>
        </w:tc>
        <w:tc>
          <w:tcPr>
            <w:tcW w:w="1200"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jc w:val="right"/>
              <w:rPr>
                <w:sz w:val="22"/>
                <w:szCs w:val="22"/>
              </w:rPr>
            </w:pPr>
            <w:r w:rsidRPr="00815FA1">
              <w:rPr>
                <w:sz w:val="22"/>
                <w:szCs w:val="22"/>
              </w:rPr>
              <w:t>169,219</w:t>
            </w:r>
          </w:p>
        </w:tc>
      </w:tr>
    </w:tbl>
    <w:p w:rsidR="00353ED4" w:rsidRPr="00815FA1" w:rsidRDefault="00353ED4" w:rsidP="006473AE">
      <w:pPr>
        <w:ind w:left="708" w:firstLine="708"/>
        <w:rPr>
          <w:sz w:val="22"/>
          <w:szCs w:val="22"/>
        </w:rPr>
      </w:pPr>
      <w:r w:rsidRPr="00815FA1">
        <w:rPr>
          <w:sz w:val="22"/>
          <w:szCs w:val="22"/>
        </w:rPr>
        <w:t>Source: ENAHO</w:t>
      </w:r>
    </w:p>
    <w:p w:rsidR="00353ED4" w:rsidRDefault="00353ED4" w:rsidP="00A40E26">
      <w:pPr>
        <w:jc w:val="both"/>
        <w:rPr>
          <w:sz w:val="22"/>
          <w:szCs w:val="22"/>
        </w:rPr>
      </w:pPr>
      <w:r w:rsidRPr="00815FA1">
        <w:rPr>
          <w:sz w:val="22"/>
          <w:szCs w:val="22"/>
        </w:rPr>
        <w:t xml:space="preserve">The SIS presents a regressive structure in </w:t>
      </w:r>
      <w:r>
        <w:rPr>
          <w:sz w:val="22"/>
          <w:szCs w:val="22"/>
        </w:rPr>
        <w:t xml:space="preserve">the number of </w:t>
      </w:r>
      <w:r w:rsidRPr="00815FA1">
        <w:rPr>
          <w:sz w:val="22"/>
          <w:szCs w:val="22"/>
        </w:rPr>
        <w:t xml:space="preserve">attentions according to </w:t>
      </w:r>
      <w:r w:rsidR="00132204">
        <w:fldChar w:fldCharType="begin"/>
      </w:r>
      <w:r w:rsidR="00132204">
        <w:instrText xml:space="preserve"> REF _Ref247583530 \h  \* MERGEFORMAT </w:instrText>
      </w:r>
      <w:r w:rsidR="00132204">
        <w:fldChar w:fldCharType="separate"/>
      </w:r>
      <w:r w:rsidRPr="00815FA1">
        <w:rPr>
          <w:sz w:val="22"/>
          <w:szCs w:val="22"/>
        </w:rPr>
        <w:t xml:space="preserve">Table </w:t>
      </w:r>
      <w:r w:rsidR="00132204">
        <w:fldChar w:fldCharType="end"/>
      </w:r>
      <w:r>
        <w:rPr>
          <w:sz w:val="22"/>
          <w:szCs w:val="22"/>
        </w:rPr>
        <w:t>33</w:t>
      </w:r>
      <w:r w:rsidRPr="00815FA1">
        <w:rPr>
          <w:sz w:val="22"/>
          <w:szCs w:val="22"/>
        </w:rPr>
        <w:t>. Attentions in the richer quintile (fifth quintile) however, receive a six times higher subsidy than attentions to households of the poorest quintile.</w:t>
      </w:r>
      <w:r>
        <w:rPr>
          <w:sz w:val="22"/>
          <w:szCs w:val="22"/>
        </w:rPr>
        <w:t xml:space="preserve"> To determine the nature of this higher subsidy the ENAHO data is disaggregated by health products and services in Table 34.   </w:t>
      </w:r>
    </w:p>
    <w:p w:rsidR="00353ED4" w:rsidRPr="00815FA1" w:rsidRDefault="00353ED4" w:rsidP="00B96029">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34</w:t>
      </w:r>
      <w:r w:rsidRPr="00815FA1">
        <w:rPr>
          <w:b/>
          <w:sz w:val="22"/>
        </w:rPr>
        <w:fldChar w:fldCharType="end"/>
      </w:r>
      <w:r w:rsidRPr="00815FA1">
        <w:rPr>
          <w:b/>
          <w:sz w:val="22"/>
        </w:rPr>
        <w:t xml:space="preserve">: SIS per user expenditure </w:t>
      </w:r>
      <w:r w:rsidRPr="00A40E26">
        <w:rPr>
          <w:b/>
          <w:sz w:val="22"/>
        </w:rPr>
        <w:t>by expenditure</w:t>
      </w:r>
      <w:r>
        <w:rPr>
          <w:sz w:val="22"/>
          <w:szCs w:val="22"/>
        </w:rPr>
        <w:t xml:space="preserve"> </w:t>
      </w:r>
      <w:r w:rsidRPr="00815FA1">
        <w:rPr>
          <w:b/>
          <w:sz w:val="22"/>
        </w:rPr>
        <w:t>quintiles</w:t>
      </w:r>
      <w:r>
        <w:rPr>
          <w:b/>
          <w:sz w:val="22"/>
        </w:rPr>
        <w:t xml:space="preserve"> and usage</w:t>
      </w:r>
      <w:r w:rsidRPr="00815FA1">
        <w:rPr>
          <w:b/>
          <w:sz w:val="22"/>
        </w:rPr>
        <w:t xml:space="preserve"> in </w:t>
      </w:r>
      <w:r>
        <w:rPr>
          <w:b/>
          <w:sz w:val="22"/>
        </w:rPr>
        <w:t>N</w:t>
      </w:r>
      <w:r w:rsidRPr="00815FA1">
        <w:rPr>
          <w:b/>
          <w:sz w:val="22"/>
        </w:rPr>
        <w:t>uevos Soles, 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1023"/>
        <w:gridCol w:w="1023"/>
        <w:gridCol w:w="1023"/>
        <w:gridCol w:w="1023"/>
        <w:gridCol w:w="1027"/>
        <w:gridCol w:w="1023"/>
      </w:tblGrid>
      <w:tr w:rsidR="00353ED4" w:rsidTr="00BA65FD">
        <w:trPr>
          <w:trHeight w:val="135"/>
        </w:trPr>
        <w:tc>
          <w:tcPr>
            <w:tcW w:w="1608" w:type="pct"/>
            <w:vMerge w:val="restart"/>
            <w:shd w:val="clear" w:color="auto" w:fill="4BACC6"/>
          </w:tcPr>
          <w:p w:rsidR="00353ED4" w:rsidRPr="00BA65FD" w:rsidRDefault="00353ED4" w:rsidP="00BA65FD">
            <w:pPr>
              <w:spacing w:before="0" w:after="0" w:line="240" w:lineRule="auto"/>
              <w:rPr>
                <w:b/>
                <w:bCs/>
                <w:color w:val="FFFFFF"/>
                <w:sz w:val="22"/>
                <w:szCs w:val="22"/>
              </w:rPr>
            </w:pPr>
          </w:p>
        </w:tc>
        <w:tc>
          <w:tcPr>
            <w:tcW w:w="2827" w:type="pct"/>
            <w:gridSpan w:val="5"/>
            <w:shd w:val="clear" w:color="auto" w:fill="4BACC6"/>
          </w:tcPr>
          <w:p w:rsidR="00353ED4" w:rsidRPr="00BA65FD" w:rsidRDefault="00353ED4" w:rsidP="00BA65FD">
            <w:pPr>
              <w:spacing w:before="0" w:after="0" w:line="240" w:lineRule="auto"/>
              <w:jc w:val="center"/>
              <w:rPr>
                <w:b/>
                <w:bCs/>
                <w:sz w:val="22"/>
                <w:szCs w:val="22"/>
              </w:rPr>
            </w:pPr>
            <w:r w:rsidRPr="00BA65FD">
              <w:rPr>
                <w:b/>
                <w:bCs/>
                <w:sz w:val="22"/>
                <w:szCs w:val="22"/>
              </w:rPr>
              <w:t>Expenditure Quintiles</w:t>
            </w:r>
          </w:p>
        </w:tc>
        <w:tc>
          <w:tcPr>
            <w:tcW w:w="565" w:type="pct"/>
            <w:shd w:val="clear" w:color="auto" w:fill="4BACC6"/>
          </w:tcPr>
          <w:p w:rsidR="00353ED4" w:rsidRPr="00BA65FD" w:rsidRDefault="00353ED4" w:rsidP="00BA65FD">
            <w:pPr>
              <w:spacing w:before="0" w:after="0" w:line="240" w:lineRule="auto"/>
              <w:jc w:val="center"/>
              <w:rPr>
                <w:b/>
                <w:bCs/>
                <w:color w:val="FFFFFF"/>
                <w:sz w:val="22"/>
                <w:szCs w:val="22"/>
              </w:rPr>
            </w:pPr>
          </w:p>
        </w:tc>
      </w:tr>
      <w:tr w:rsidR="00353ED4" w:rsidTr="00BA65FD">
        <w:trPr>
          <w:trHeight w:val="135"/>
        </w:trPr>
        <w:tc>
          <w:tcPr>
            <w:tcW w:w="1608" w:type="pct"/>
            <w:vMerge/>
            <w:tcBorders>
              <w:top w:val="single" w:sz="8" w:space="0" w:color="4BACC6"/>
            </w:tcBorders>
            <w:shd w:val="clear" w:color="auto" w:fill="4BACC6"/>
          </w:tcPr>
          <w:p w:rsidR="00353ED4" w:rsidRPr="00BA65FD" w:rsidRDefault="00353ED4" w:rsidP="00BA65FD">
            <w:pPr>
              <w:spacing w:before="0" w:after="0" w:line="240" w:lineRule="auto"/>
              <w:rPr>
                <w:b/>
                <w:bCs/>
                <w:sz w:val="22"/>
                <w:szCs w:val="22"/>
              </w:rPr>
            </w:pPr>
          </w:p>
        </w:tc>
        <w:tc>
          <w:tcPr>
            <w:tcW w:w="565" w:type="pct"/>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1</w:t>
            </w:r>
          </w:p>
        </w:tc>
        <w:tc>
          <w:tcPr>
            <w:tcW w:w="565" w:type="pct"/>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2</w:t>
            </w:r>
          </w:p>
        </w:tc>
        <w:tc>
          <w:tcPr>
            <w:tcW w:w="565" w:type="pct"/>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3</w:t>
            </w:r>
          </w:p>
        </w:tc>
        <w:tc>
          <w:tcPr>
            <w:tcW w:w="565" w:type="pct"/>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4</w:t>
            </w:r>
          </w:p>
        </w:tc>
        <w:tc>
          <w:tcPr>
            <w:tcW w:w="567" w:type="pct"/>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5</w:t>
            </w:r>
          </w:p>
        </w:tc>
        <w:tc>
          <w:tcPr>
            <w:tcW w:w="565" w:type="pct"/>
            <w:tcBorders>
              <w:top w:val="single" w:sz="8" w:space="0" w:color="4BACC6"/>
            </w:tcBorders>
            <w:shd w:val="clear" w:color="auto" w:fill="4BACC6"/>
          </w:tcPr>
          <w:p w:rsidR="00353ED4" w:rsidRPr="00BA65FD" w:rsidRDefault="00353ED4" w:rsidP="00BA65FD">
            <w:pPr>
              <w:spacing w:before="0" w:after="0" w:line="240" w:lineRule="auto"/>
              <w:jc w:val="center"/>
              <w:rPr>
                <w:b/>
                <w:sz w:val="22"/>
                <w:szCs w:val="22"/>
              </w:rPr>
            </w:pPr>
            <w:r w:rsidRPr="00BA65FD">
              <w:rPr>
                <w:b/>
                <w:sz w:val="22"/>
                <w:szCs w:val="22"/>
              </w:rPr>
              <w:t>Average</w:t>
            </w:r>
          </w:p>
        </w:tc>
      </w:tr>
      <w:tr w:rsidR="00353ED4" w:rsidTr="00BA65FD">
        <w:tc>
          <w:tcPr>
            <w:tcW w:w="1608" w:type="pct"/>
            <w:tcBorders>
              <w:bottom w:val="nil"/>
            </w:tcBorders>
          </w:tcPr>
          <w:p w:rsidR="00353ED4" w:rsidRPr="00BA65FD" w:rsidRDefault="00353ED4" w:rsidP="00BA65FD">
            <w:pPr>
              <w:spacing w:before="0" w:after="0" w:line="240" w:lineRule="auto"/>
              <w:rPr>
                <w:b/>
                <w:bCs/>
                <w:sz w:val="22"/>
                <w:szCs w:val="22"/>
              </w:rPr>
            </w:pPr>
            <w:r w:rsidRPr="00BA65FD">
              <w:rPr>
                <w:b/>
                <w:bCs/>
                <w:sz w:val="22"/>
                <w:szCs w:val="22"/>
              </w:rPr>
              <w:t>SIS (total)</w:t>
            </w:r>
          </w:p>
        </w:tc>
        <w:tc>
          <w:tcPr>
            <w:tcW w:w="565"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108</w:t>
            </w:r>
          </w:p>
        </w:tc>
        <w:tc>
          <w:tcPr>
            <w:tcW w:w="565"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165</w:t>
            </w:r>
          </w:p>
        </w:tc>
        <w:tc>
          <w:tcPr>
            <w:tcW w:w="565"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211</w:t>
            </w:r>
          </w:p>
        </w:tc>
        <w:tc>
          <w:tcPr>
            <w:tcW w:w="565"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303</w:t>
            </w:r>
          </w:p>
        </w:tc>
        <w:tc>
          <w:tcPr>
            <w:tcW w:w="567"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640</w:t>
            </w:r>
          </w:p>
        </w:tc>
        <w:tc>
          <w:tcPr>
            <w:tcW w:w="565" w:type="pct"/>
            <w:tcBorders>
              <w:bottom w:val="nil"/>
            </w:tcBorders>
          </w:tcPr>
          <w:p w:rsidR="00353ED4" w:rsidRPr="00BA65FD" w:rsidRDefault="00353ED4" w:rsidP="00BA65FD">
            <w:pPr>
              <w:spacing w:before="0" w:after="0" w:line="240" w:lineRule="auto"/>
              <w:jc w:val="center"/>
              <w:rPr>
                <w:sz w:val="22"/>
                <w:szCs w:val="22"/>
              </w:rPr>
            </w:pPr>
            <w:r w:rsidRPr="00BA65FD">
              <w:rPr>
                <w:sz w:val="22"/>
                <w:szCs w:val="22"/>
              </w:rPr>
              <w:t>175</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Consultations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15.02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23.58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26.97</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30.15</w:t>
            </w:r>
          </w:p>
        </w:tc>
        <w:tc>
          <w:tcPr>
            <w:tcW w:w="567"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36.07</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21.55</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Medicines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29.81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46.22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54.52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83.41</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163.80</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47.48</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Analyses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1.34</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4.61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7.93</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16.50</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63.61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6.58</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X-rays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0.48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0.96</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1.91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13.52</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28.78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2.82</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Other tests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0.08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0.03</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0.09</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0.63</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80.11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2.45</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Dental Services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1.67</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2.72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4.15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4.73</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4.65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2.77</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 xml:space="preserve">Ophthalmological Services </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0.19</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0.22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0.21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0.31</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0.48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0.22</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Purchase of Glasses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0.15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0.14</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0.03</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0.26</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0</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0.13</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Vaccines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34.35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45.79</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56.37</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72.89</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67.01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45.85</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 xml:space="preserve">Children Health Controls </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7.52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7.35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7.72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7.14</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6.88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7.45</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 xml:space="preserve">Contraceptive </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3.58</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5.65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6.63</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6.93</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15.41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5.36</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 xml:space="preserve">Other expending </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3.85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4.20</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6.11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5.82</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13.81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4.81</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 xml:space="preserve">Hospitalization and Surgeries  </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5.71</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19.03</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28.89</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52.14</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145.50</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21.76</w:t>
            </w:r>
          </w:p>
        </w:tc>
      </w:tr>
      <w:tr w:rsidR="00353ED4" w:rsidTr="00BA65FD">
        <w:tc>
          <w:tcPr>
            <w:tcW w:w="1608" w:type="pct"/>
            <w:tcBorders>
              <w:top w:val="nil"/>
              <w:bottom w:val="nil"/>
            </w:tcBorders>
          </w:tcPr>
          <w:p w:rsidR="00353ED4" w:rsidRPr="00BA65FD" w:rsidRDefault="00353ED4" w:rsidP="00BA65FD">
            <w:pPr>
              <w:spacing w:before="0" w:after="0" w:line="240" w:lineRule="auto"/>
              <w:rPr>
                <w:b/>
                <w:bCs/>
                <w:sz w:val="22"/>
                <w:szCs w:val="22"/>
              </w:rPr>
            </w:pPr>
            <w:r w:rsidRPr="00BA65FD">
              <w:rPr>
                <w:bCs/>
                <w:sz w:val="22"/>
                <w:szCs w:val="22"/>
              </w:rPr>
              <w:t>Prenatal controls</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1.65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1.55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3.22</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3.51</w:t>
            </w:r>
          </w:p>
        </w:tc>
        <w:tc>
          <w:tcPr>
            <w:tcW w:w="567" w:type="pct"/>
            <w:tcBorders>
              <w:top w:val="nil"/>
              <w:bottom w:val="nil"/>
            </w:tcBorders>
          </w:tcPr>
          <w:p w:rsidR="00353ED4" w:rsidRPr="00FE065B" w:rsidRDefault="00353ED4" w:rsidP="00BA65FD">
            <w:pPr>
              <w:spacing w:before="0" w:after="0" w:line="240" w:lineRule="auto"/>
              <w:jc w:val="center"/>
              <w:rPr>
                <w:sz w:val="22"/>
                <w:szCs w:val="22"/>
              </w:rPr>
            </w:pPr>
            <w:r w:rsidRPr="00FE065B">
              <w:rPr>
                <w:sz w:val="22"/>
                <w:szCs w:val="22"/>
              </w:rPr>
              <w:t>2.95</w:t>
            </w:r>
          </w:p>
        </w:tc>
        <w:tc>
          <w:tcPr>
            <w:tcW w:w="565" w:type="pct"/>
            <w:tcBorders>
              <w:top w:val="nil"/>
              <w:bottom w:val="nil"/>
            </w:tcBorders>
          </w:tcPr>
          <w:p w:rsidR="00353ED4" w:rsidRPr="00BA65FD" w:rsidRDefault="00353ED4" w:rsidP="00BA65FD">
            <w:pPr>
              <w:spacing w:before="0" w:after="0" w:line="240" w:lineRule="auto"/>
              <w:jc w:val="center"/>
              <w:rPr>
                <w:sz w:val="22"/>
                <w:szCs w:val="22"/>
              </w:rPr>
            </w:pPr>
            <w:r w:rsidRPr="00BA65FD">
              <w:rPr>
                <w:sz w:val="22"/>
                <w:szCs w:val="22"/>
              </w:rPr>
              <w:t>2.09</w:t>
            </w:r>
          </w:p>
        </w:tc>
      </w:tr>
      <w:tr w:rsidR="00353ED4" w:rsidTr="00BA65FD">
        <w:tc>
          <w:tcPr>
            <w:tcW w:w="1608" w:type="pct"/>
            <w:tcBorders>
              <w:top w:val="nil"/>
            </w:tcBorders>
          </w:tcPr>
          <w:p w:rsidR="00353ED4" w:rsidRPr="00BA65FD" w:rsidRDefault="00353ED4" w:rsidP="00BA65FD">
            <w:pPr>
              <w:spacing w:before="0" w:after="0" w:line="240" w:lineRule="auto"/>
              <w:rPr>
                <w:b/>
                <w:bCs/>
                <w:sz w:val="22"/>
                <w:szCs w:val="22"/>
              </w:rPr>
            </w:pPr>
            <w:r w:rsidRPr="00BA65FD">
              <w:rPr>
                <w:bCs/>
                <w:sz w:val="22"/>
                <w:szCs w:val="22"/>
              </w:rPr>
              <w:t>Delivery attention</w:t>
            </w:r>
          </w:p>
        </w:tc>
        <w:tc>
          <w:tcPr>
            <w:tcW w:w="565"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2.42</w:t>
            </w:r>
          </w:p>
        </w:tc>
        <w:tc>
          <w:tcPr>
            <w:tcW w:w="565"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2.83</w:t>
            </w:r>
          </w:p>
        </w:tc>
        <w:tc>
          <w:tcPr>
            <w:tcW w:w="565"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5.91</w:t>
            </w:r>
          </w:p>
        </w:tc>
        <w:tc>
          <w:tcPr>
            <w:tcW w:w="565"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5.35</w:t>
            </w:r>
          </w:p>
        </w:tc>
        <w:tc>
          <w:tcPr>
            <w:tcW w:w="567"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11.50</w:t>
            </w:r>
          </w:p>
        </w:tc>
        <w:tc>
          <w:tcPr>
            <w:tcW w:w="565" w:type="pct"/>
            <w:tcBorders>
              <w:top w:val="nil"/>
            </w:tcBorders>
          </w:tcPr>
          <w:p w:rsidR="00353ED4" w:rsidRPr="00BA65FD" w:rsidRDefault="00353ED4" w:rsidP="00BA65FD">
            <w:pPr>
              <w:spacing w:before="0" w:after="0" w:line="240" w:lineRule="auto"/>
              <w:jc w:val="center"/>
              <w:rPr>
                <w:sz w:val="22"/>
                <w:szCs w:val="22"/>
              </w:rPr>
            </w:pPr>
            <w:r w:rsidRPr="00BA65FD">
              <w:rPr>
                <w:sz w:val="22"/>
                <w:szCs w:val="22"/>
              </w:rPr>
              <w:t>3.67</w:t>
            </w:r>
          </w:p>
        </w:tc>
      </w:tr>
    </w:tbl>
    <w:p w:rsidR="00353ED4" w:rsidRDefault="00353ED4" w:rsidP="006473AE">
      <w:pPr>
        <w:jc w:val="both"/>
        <w:rPr>
          <w:sz w:val="22"/>
          <w:szCs w:val="22"/>
        </w:rPr>
      </w:pPr>
      <w:r>
        <w:rPr>
          <w:sz w:val="22"/>
          <w:szCs w:val="22"/>
        </w:rPr>
        <w:t>Table 34 shows that the most important differences between the richest and the poorest quintiles come from hospitalization and surgeries, medicines, analyses and other tests. P</w:t>
      </w:r>
      <w:r w:rsidRPr="00815FA1">
        <w:rPr>
          <w:sz w:val="22"/>
          <w:szCs w:val="22"/>
        </w:rPr>
        <w:t>oor population with access to MINSA consult</w:t>
      </w:r>
      <w:r>
        <w:rPr>
          <w:sz w:val="22"/>
          <w:szCs w:val="22"/>
        </w:rPr>
        <w:t>s</w:t>
      </w:r>
      <w:r w:rsidRPr="00815FA1">
        <w:rPr>
          <w:sz w:val="22"/>
          <w:szCs w:val="22"/>
        </w:rPr>
        <w:t>, do it mainly in the first level of attention (post and health centers)</w:t>
      </w:r>
      <w:r>
        <w:rPr>
          <w:sz w:val="22"/>
          <w:szCs w:val="22"/>
        </w:rPr>
        <w:t xml:space="preserve">, and demand simpler services. </w:t>
      </w:r>
    </w:p>
    <w:p w:rsidR="00353ED4" w:rsidRDefault="00353ED4" w:rsidP="00A40E26">
      <w:pPr>
        <w:jc w:val="both"/>
        <w:rPr>
          <w:sz w:val="22"/>
          <w:szCs w:val="22"/>
        </w:rPr>
      </w:pPr>
      <w:r w:rsidRPr="00815FA1">
        <w:rPr>
          <w:sz w:val="22"/>
          <w:szCs w:val="22"/>
        </w:rPr>
        <w:t xml:space="preserve">Differences are supported </w:t>
      </w:r>
      <w:r>
        <w:rPr>
          <w:sz w:val="22"/>
          <w:szCs w:val="22"/>
        </w:rPr>
        <w:t>by</w:t>
      </w:r>
      <w:r w:rsidRPr="00815FA1">
        <w:rPr>
          <w:sz w:val="22"/>
          <w:szCs w:val="22"/>
        </w:rPr>
        <w:t xml:space="preserve"> </w:t>
      </w:r>
      <w:r w:rsidRPr="00B005DF">
        <w:rPr>
          <w:sz w:val="22"/>
        </w:rPr>
        <w:t>Table 3</w:t>
      </w:r>
      <w:r>
        <w:rPr>
          <w:sz w:val="22"/>
        </w:rPr>
        <w:t>5</w:t>
      </w:r>
      <w:r w:rsidRPr="00815FA1">
        <w:rPr>
          <w:sz w:val="22"/>
          <w:szCs w:val="22"/>
        </w:rPr>
        <w:t xml:space="preserve">, </w:t>
      </w:r>
      <w:r>
        <w:rPr>
          <w:sz w:val="22"/>
          <w:szCs w:val="22"/>
        </w:rPr>
        <w:t xml:space="preserve">where SIS expenditure is analyzed by </w:t>
      </w:r>
      <w:r w:rsidRPr="00815FA1">
        <w:rPr>
          <w:sz w:val="22"/>
          <w:szCs w:val="22"/>
        </w:rPr>
        <w:t>area of residence. SIS</w:t>
      </w:r>
      <w:r>
        <w:rPr>
          <w:sz w:val="22"/>
          <w:szCs w:val="22"/>
        </w:rPr>
        <w:t>´s</w:t>
      </w:r>
      <w:r w:rsidRPr="00815FA1">
        <w:rPr>
          <w:sz w:val="22"/>
          <w:szCs w:val="22"/>
        </w:rPr>
        <w:t xml:space="preserve"> subsidy is 1.</w:t>
      </w:r>
      <w:r>
        <w:rPr>
          <w:sz w:val="22"/>
          <w:szCs w:val="22"/>
        </w:rPr>
        <w:t>05</w:t>
      </w:r>
      <w:r w:rsidRPr="00815FA1">
        <w:rPr>
          <w:sz w:val="22"/>
          <w:szCs w:val="22"/>
        </w:rPr>
        <w:t xml:space="preserve"> times more in urban areas than i</w:t>
      </w:r>
      <w:r>
        <w:rPr>
          <w:sz w:val="22"/>
          <w:szCs w:val="22"/>
        </w:rPr>
        <w:t>n</w:t>
      </w:r>
      <w:r w:rsidRPr="00815FA1">
        <w:rPr>
          <w:sz w:val="22"/>
          <w:szCs w:val="22"/>
        </w:rPr>
        <w:t xml:space="preserve"> rural ones. It is important to note that many of the areas labeled urban are in fact urban marginal areas, which usually are located far from hospitals but near other heath facilities.</w:t>
      </w:r>
    </w:p>
    <w:p w:rsidR="00353ED4" w:rsidRPr="00815FA1" w:rsidRDefault="00353ED4" w:rsidP="00A40E26">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35</w:t>
      </w:r>
      <w:r w:rsidRPr="00815FA1">
        <w:rPr>
          <w:b/>
          <w:sz w:val="22"/>
        </w:rPr>
        <w:fldChar w:fldCharType="end"/>
      </w:r>
      <w:r w:rsidRPr="00815FA1">
        <w:rPr>
          <w:b/>
          <w:sz w:val="22"/>
        </w:rPr>
        <w:t xml:space="preserve">: SIS and public donations per user expenditure by area of residence in </w:t>
      </w:r>
      <w:r>
        <w:rPr>
          <w:b/>
          <w:sz w:val="22"/>
        </w:rPr>
        <w:t>N</w:t>
      </w:r>
      <w:r w:rsidRPr="00815FA1">
        <w:rPr>
          <w:b/>
          <w:sz w:val="22"/>
        </w:rPr>
        <w:t>uevos soles, 2008</w:t>
      </w:r>
    </w:p>
    <w:tbl>
      <w:tblPr>
        <w:tblW w:w="5170" w:type="dxa"/>
        <w:jc w:val="center"/>
        <w:tblCellMar>
          <w:left w:w="70" w:type="dxa"/>
          <w:right w:w="70" w:type="dxa"/>
        </w:tblCellMar>
        <w:tblLook w:val="00A0" w:firstRow="1" w:lastRow="0" w:firstColumn="1" w:lastColumn="0" w:noHBand="0" w:noVBand="0"/>
      </w:tblPr>
      <w:tblGrid>
        <w:gridCol w:w="2670"/>
        <w:gridCol w:w="1300"/>
        <w:gridCol w:w="1200"/>
      </w:tblGrid>
      <w:tr w:rsidR="00353ED4" w:rsidRPr="00815FA1">
        <w:trPr>
          <w:trHeight w:val="615"/>
          <w:jc w:val="center"/>
        </w:trPr>
        <w:tc>
          <w:tcPr>
            <w:tcW w:w="2670" w:type="dxa"/>
            <w:tcBorders>
              <w:top w:val="single" w:sz="8" w:space="0" w:color="auto"/>
              <w:left w:val="single" w:sz="8" w:space="0" w:color="auto"/>
              <w:bottom w:val="single" w:sz="8" w:space="0" w:color="auto"/>
              <w:right w:val="single" w:sz="8" w:space="0" w:color="auto"/>
            </w:tcBorders>
            <w:shd w:val="clear" w:color="000000" w:fill="8DB4E3"/>
            <w:noWrap/>
            <w:vAlign w:val="bottom"/>
          </w:tcPr>
          <w:p w:rsidR="00353ED4" w:rsidRPr="00815FA1" w:rsidRDefault="00353ED4" w:rsidP="00EC516F">
            <w:pPr>
              <w:spacing w:before="0" w:after="0" w:line="240" w:lineRule="auto"/>
              <w:rPr>
                <w:sz w:val="22"/>
                <w:szCs w:val="22"/>
              </w:rPr>
            </w:pPr>
            <w:r w:rsidRPr="00815FA1">
              <w:rPr>
                <w:sz w:val="22"/>
                <w:szCs w:val="22"/>
              </w:rPr>
              <w:t> </w:t>
            </w:r>
          </w:p>
        </w:tc>
        <w:tc>
          <w:tcPr>
            <w:tcW w:w="1300" w:type="dxa"/>
            <w:tcBorders>
              <w:top w:val="single" w:sz="8" w:space="0" w:color="auto"/>
              <w:left w:val="nil"/>
              <w:bottom w:val="single" w:sz="8" w:space="0" w:color="auto"/>
              <w:right w:val="single" w:sz="4" w:space="0" w:color="auto"/>
            </w:tcBorders>
            <w:shd w:val="clear" w:color="000000" w:fill="8DB4E3"/>
            <w:vAlign w:val="bottom"/>
          </w:tcPr>
          <w:p w:rsidR="00353ED4" w:rsidRPr="00815FA1" w:rsidRDefault="00353ED4" w:rsidP="00EC516F">
            <w:pPr>
              <w:spacing w:before="0" w:after="0" w:line="240" w:lineRule="auto"/>
              <w:rPr>
                <w:sz w:val="22"/>
                <w:szCs w:val="22"/>
              </w:rPr>
            </w:pPr>
            <w:r w:rsidRPr="00815FA1">
              <w:rPr>
                <w:sz w:val="22"/>
                <w:szCs w:val="22"/>
              </w:rPr>
              <w:t>Per user expenditure</w:t>
            </w:r>
          </w:p>
        </w:tc>
        <w:tc>
          <w:tcPr>
            <w:tcW w:w="1200" w:type="dxa"/>
            <w:tcBorders>
              <w:top w:val="single" w:sz="8" w:space="0" w:color="auto"/>
              <w:left w:val="nil"/>
              <w:bottom w:val="single" w:sz="8" w:space="0" w:color="auto"/>
              <w:right w:val="single" w:sz="8" w:space="0" w:color="auto"/>
            </w:tcBorders>
            <w:shd w:val="clear" w:color="000000" w:fill="8DB4E3"/>
            <w:vAlign w:val="bottom"/>
          </w:tcPr>
          <w:p w:rsidR="00353ED4" w:rsidRPr="00815FA1" w:rsidRDefault="00353ED4" w:rsidP="00EC516F">
            <w:pPr>
              <w:spacing w:before="0" w:after="0" w:line="240" w:lineRule="auto"/>
              <w:rPr>
                <w:sz w:val="22"/>
                <w:szCs w:val="22"/>
              </w:rPr>
            </w:pPr>
            <w:r w:rsidRPr="00815FA1">
              <w:rPr>
                <w:sz w:val="22"/>
                <w:szCs w:val="22"/>
              </w:rPr>
              <w:t>Estimated attentions</w:t>
            </w:r>
          </w:p>
        </w:tc>
      </w:tr>
      <w:tr w:rsidR="00353ED4" w:rsidRPr="00815FA1">
        <w:trPr>
          <w:trHeight w:val="300"/>
          <w:jc w:val="center"/>
        </w:trPr>
        <w:tc>
          <w:tcPr>
            <w:tcW w:w="267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EC516F">
            <w:pPr>
              <w:spacing w:before="0" w:after="0" w:line="240" w:lineRule="auto"/>
              <w:rPr>
                <w:sz w:val="22"/>
                <w:szCs w:val="22"/>
              </w:rPr>
            </w:pPr>
            <w:r w:rsidRPr="00815FA1">
              <w:rPr>
                <w:sz w:val="22"/>
                <w:szCs w:val="22"/>
              </w:rPr>
              <w:t xml:space="preserve">SIS </w:t>
            </w:r>
          </w:p>
        </w:tc>
        <w:tc>
          <w:tcPr>
            <w:tcW w:w="1300" w:type="dxa"/>
            <w:tcBorders>
              <w:top w:val="nil"/>
              <w:left w:val="nil"/>
              <w:bottom w:val="nil"/>
              <w:right w:val="single" w:sz="4" w:space="0" w:color="auto"/>
            </w:tcBorders>
            <w:shd w:val="clear" w:color="000000" w:fill="DBE5F1"/>
            <w:noWrap/>
            <w:vAlign w:val="bottom"/>
          </w:tcPr>
          <w:p w:rsidR="00353ED4" w:rsidRPr="00815FA1" w:rsidRDefault="00353ED4" w:rsidP="00EC516F">
            <w:pPr>
              <w:spacing w:before="0" w:after="0" w:line="240" w:lineRule="auto"/>
              <w:rPr>
                <w:sz w:val="22"/>
                <w:szCs w:val="22"/>
              </w:rPr>
            </w:pPr>
            <w:r w:rsidRPr="00815FA1">
              <w:rPr>
                <w:sz w:val="22"/>
                <w:szCs w:val="22"/>
              </w:rPr>
              <w:t>175</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EC516F">
            <w:pPr>
              <w:spacing w:before="0" w:after="0" w:line="240" w:lineRule="auto"/>
              <w:rPr>
                <w:sz w:val="22"/>
                <w:szCs w:val="22"/>
              </w:rPr>
            </w:pPr>
            <w:r w:rsidRPr="00815FA1">
              <w:rPr>
                <w:sz w:val="22"/>
                <w:szCs w:val="22"/>
              </w:rPr>
              <w:t>5,800,831</w:t>
            </w:r>
          </w:p>
        </w:tc>
      </w:tr>
      <w:tr w:rsidR="00353ED4" w:rsidRPr="00815FA1">
        <w:trPr>
          <w:trHeight w:val="300"/>
          <w:jc w:val="center"/>
        </w:trPr>
        <w:tc>
          <w:tcPr>
            <w:tcW w:w="2670"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Urban</w:t>
            </w:r>
          </w:p>
        </w:tc>
        <w:tc>
          <w:tcPr>
            <w:tcW w:w="1300" w:type="dxa"/>
            <w:tcBorders>
              <w:top w:val="nil"/>
              <w:left w:val="nil"/>
              <w:bottom w:val="nil"/>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133</w:t>
            </w:r>
          </w:p>
        </w:tc>
        <w:tc>
          <w:tcPr>
            <w:tcW w:w="1200" w:type="dxa"/>
            <w:tcBorders>
              <w:top w:val="nil"/>
              <w:left w:val="nil"/>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2,576,423</w:t>
            </w:r>
          </w:p>
        </w:tc>
      </w:tr>
      <w:tr w:rsidR="00353ED4" w:rsidRPr="00815FA1">
        <w:trPr>
          <w:trHeight w:val="315"/>
          <w:jc w:val="center"/>
        </w:trPr>
        <w:tc>
          <w:tcPr>
            <w:tcW w:w="2670" w:type="dxa"/>
            <w:tcBorders>
              <w:top w:val="nil"/>
              <w:left w:val="single" w:sz="8" w:space="0" w:color="auto"/>
              <w:bottom w:val="single" w:sz="8" w:space="0" w:color="auto"/>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Rural</w:t>
            </w:r>
          </w:p>
        </w:tc>
        <w:tc>
          <w:tcPr>
            <w:tcW w:w="1300" w:type="dxa"/>
            <w:tcBorders>
              <w:top w:val="nil"/>
              <w:left w:val="nil"/>
              <w:bottom w:val="single" w:sz="8" w:space="0" w:color="auto"/>
              <w:right w:val="single" w:sz="4"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126</w:t>
            </w:r>
          </w:p>
        </w:tc>
        <w:tc>
          <w:tcPr>
            <w:tcW w:w="1200"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3,224,408</w:t>
            </w:r>
          </w:p>
        </w:tc>
      </w:tr>
    </w:tbl>
    <w:p w:rsidR="00353ED4" w:rsidRDefault="00353ED4" w:rsidP="006473AE">
      <w:pPr>
        <w:ind w:left="708" w:firstLine="708"/>
        <w:rPr>
          <w:sz w:val="22"/>
          <w:szCs w:val="22"/>
        </w:rPr>
      </w:pPr>
      <w:r w:rsidRPr="00815FA1">
        <w:rPr>
          <w:sz w:val="22"/>
          <w:szCs w:val="22"/>
        </w:rPr>
        <w:t>Source: ENAHO</w:t>
      </w:r>
      <w:r>
        <w:rPr>
          <w:sz w:val="22"/>
          <w:szCs w:val="22"/>
        </w:rPr>
        <w:t>, 2008</w:t>
      </w:r>
    </w:p>
    <w:p w:rsidR="00353ED4" w:rsidRPr="00815FA1" w:rsidRDefault="00353ED4" w:rsidP="006473AE">
      <w:pPr>
        <w:ind w:left="708" w:firstLine="708"/>
        <w:rPr>
          <w:sz w:val="22"/>
          <w:szCs w:val="22"/>
        </w:rPr>
      </w:pPr>
    </w:p>
    <w:p w:rsidR="00353ED4" w:rsidRDefault="00353ED4">
      <w:pPr>
        <w:spacing w:before="0" w:after="0" w:line="240" w:lineRule="auto"/>
        <w:rPr>
          <w:sz w:val="22"/>
          <w:szCs w:val="22"/>
        </w:rPr>
      </w:pPr>
      <w:r>
        <w:rPr>
          <w:sz w:val="22"/>
          <w:szCs w:val="22"/>
        </w:rPr>
        <w:br w:type="page"/>
      </w:r>
    </w:p>
    <w:p w:rsidR="00353ED4" w:rsidRPr="004A2EFD" w:rsidRDefault="00353ED4" w:rsidP="008937E1">
      <w:pPr>
        <w:pStyle w:val="Ttulo1"/>
        <w:numPr>
          <w:ilvl w:val="0"/>
          <w:numId w:val="28"/>
        </w:numPr>
        <w:pBdr>
          <w:left w:val="single" w:sz="24" w:space="1" w:color="4F81BD"/>
        </w:pBdr>
        <w:ind w:left="426" w:hanging="426"/>
        <w:rPr>
          <w:rStyle w:val="apple-style-span"/>
        </w:rPr>
      </w:pPr>
      <w:bookmarkStart w:id="81" w:name="_Toc254270041"/>
      <w:r>
        <w:rPr>
          <w:rStyle w:val="apple-style-span"/>
        </w:rPr>
        <w:t>A</w:t>
      </w:r>
      <w:r w:rsidRPr="004A2EFD">
        <w:rPr>
          <w:rStyle w:val="apple-style-span"/>
        </w:rPr>
        <w:t>nalysis of Maternal and Neonatal Health program</w:t>
      </w:r>
      <w:bookmarkEnd w:id="81"/>
      <w:r w:rsidRPr="004A2EFD">
        <w:rPr>
          <w:rStyle w:val="apple-style-span"/>
        </w:rPr>
        <w:t xml:space="preserve"> </w:t>
      </w:r>
    </w:p>
    <w:p w:rsidR="00353ED4" w:rsidRPr="00B005DF" w:rsidRDefault="00353ED4" w:rsidP="00A40E26">
      <w:pPr>
        <w:jc w:val="both"/>
        <w:rPr>
          <w:sz w:val="22"/>
        </w:rPr>
      </w:pPr>
      <w:r w:rsidRPr="00A40E26">
        <w:rPr>
          <w:sz w:val="22"/>
        </w:rPr>
        <w:t xml:space="preserve">The neonatal mortality rate estimated using data </w:t>
      </w:r>
      <w:r>
        <w:rPr>
          <w:sz w:val="22"/>
        </w:rPr>
        <w:t>from</w:t>
      </w:r>
      <w:r w:rsidRPr="00A40E26">
        <w:rPr>
          <w:sz w:val="22"/>
        </w:rPr>
        <w:t xml:space="preserve"> ENDES in the period 2000-2008, continues decreasing at the rate of one less death per year, estimating in ten deaths of newborns (with less than a month of life) per 10,000 live births. </w:t>
      </w:r>
      <w:r>
        <w:rPr>
          <w:sz w:val="22"/>
        </w:rPr>
        <w:t>Meanwhile, t</w:t>
      </w:r>
      <w:r w:rsidRPr="00A40E26">
        <w:rPr>
          <w:sz w:val="22"/>
        </w:rPr>
        <w:t>he access of health services for pregnancy women continues increasing</w:t>
      </w:r>
      <w:r>
        <w:rPr>
          <w:sz w:val="22"/>
        </w:rPr>
        <w:t xml:space="preserve">. </w:t>
      </w:r>
      <w:r w:rsidRPr="00A40E26">
        <w:rPr>
          <w:sz w:val="22"/>
        </w:rPr>
        <w:t>According</w:t>
      </w:r>
      <w:r w:rsidRPr="00B005DF">
        <w:rPr>
          <w:sz w:val="22"/>
        </w:rPr>
        <w:t xml:space="preserve"> to ENDES 200</w:t>
      </w:r>
      <w:r>
        <w:rPr>
          <w:sz w:val="22"/>
        </w:rPr>
        <w:t>8</w:t>
      </w:r>
      <w:r w:rsidRPr="00B005DF">
        <w:rPr>
          <w:sz w:val="22"/>
        </w:rPr>
        <w:t xml:space="preserve"> (1</w:t>
      </w:r>
      <w:r w:rsidRPr="00B005DF">
        <w:rPr>
          <w:sz w:val="22"/>
          <w:vertAlign w:val="superscript"/>
        </w:rPr>
        <w:t>st</w:t>
      </w:r>
      <w:r w:rsidRPr="00B005DF">
        <w:rPr>
          <w:sz w:val="22"/>
        </w:rPr>
        <w:t xml:space="preserve"> Quarter), almost 73% of pregnancy women received their first prenatal control during the first quarter of their pregnancy period, which shows an annual average increase </w:t>
      </w:r>
      <w:r>
        <w:rPr>
          <w:sz w:val="22"/>
        </w:rPr>
        <w:t>of</w:t>
      </w:r>
      <w:r w:rsidRPr="00B005DF">
        <w:rPr>
          <w:sz w:val="22"/>
        </w:rPr>
        <w:t xml:space="preserve"> 1% compared to ENDES 200</w:t>
      </w:r>
      <w:r>
        <w:rPr>
          <w:sz w:val="22"/>
        </w:rPr>
        <w:t>7</w:t>
      </w:r>
      <w:r w:rsidRPr="00B005DF">
        <w:rPr>
          <w:sz w:val="22"/>
        </w:rPr>
        <w:t>. In terms of access to health services, 82% of pregnant women attend to six or more prenatal controls, 1.5% more than the one</w:t>
      </w:r>
      <w:r>
        <w:rPr>
          <w:sz w:val="22"/>
        </w:rPr>
        <w:t xml:space="preserve"> appreciate in ENDES 2007</w:t>
      </w:r>
      <w:r w:rsidRPr="00B005DF">
        <w:rPr>
          <w:sz w:val="22"/>
        </w:rPr>
        <w:t>.</w:t>
      </w:r>
    </w:p>
    <w:p w:rsidR="00353ED4" w:rsidRPr="00B005DF" w:rsidRDefault="00353ED4" w:rsidP="008C691D">
      <w:pPr>
        <w:jc w:val="both"/>
        <w:rPr>
          <w:sz w:val="22"/>
        </w:rPr>
      </w:pPr>
      <w:r w:rsidRPr="00B005DF">
        <w:rPr>
          <w:sz w:val="22"/>
        </w:rPr>
        <w:t>In this context, the Strategic Program of Maternal and Neonatal Health involve working with MINSA, SIS and regional governments. The speci</w:t>
      </w:r>
      <w:r>
        <w:rPr>
          <w:sz w:val="22"/>
        </w:rPr>
        <w:t>fic goals are listed in Table 19</w:t>
      </w:r>
      <w:r w:rsidRPr="00B005DF">
        <w:rPr>
          <w:sz w:val="22"/>
        </w:rPr>
        <w:t xml:space="preserve">. The budget was distributed among MINSA, SIS and the regional authorities, so they can perform their specific activities to accomplish their stated goals. </w:t>
      </w:r>
    </w:p>
    <w:p w:rsidR="00353ED4" w:rsidRPr="00B005DF" w:rsidRDefault="00353ED4" w:rsidP="009C1B52">
      <w:pPr>
        <w:jc w:val="both"/>
        <w:rPr>
          <w:sz w:val="22"/>
        </w:rPr>
      </w:pPr>
      <w:r w:rsidRPr="00B005DF">
        <w:rPr>
          <w:sz w:val="22"/>
          <w:u w:val="single"/>
        </w:rPr>
        <w:t>Ministry of Health:</w:t>
      </w:r>
      <w:r w:rsidRPr="00B005DF">
        <w:rPr>
          <w:sz w:val="22"/>
        </w:rPr>
        <w:t xml:space="preserve"> 135.1 millions of Nuevos Soles were assigned in 2008</w:t>
      </w:r>
      <w:r>
        <w:rPr>
          <w:sz w:val="22"/>
        </w:rPr>
        <w:t xml:space="preserve">. Only </w:t>
      </w:r>
      <w:r w:rsidRPr="00B005DF">
        <w:rPr>
          <w:sz w:val="22"/>
        </w:rPr>
        <w:t>106.8 were effectively executed (80%). The purposes of this budget w</w:t>
      </w:r>
      <w:r>
        <w:rPr>
          <w:sz w:val="22"/>
        </w:rPr>
        <w:t xml:space="preserve">as </w:t>
      </w:r>
      <w:r w:rsidRPr="00B005DF">
        <w:rPr>
          <w:sz w:val="22"/>
        </w:rPr>
        <w:t>to:</w:t>
      </w:r>
    </w:p>
    <w:p w:rsidR="00353ED4" w:rsidRPr="00B005DF" w:rsidRDefault="00353ED4" w:rsidP="005038E5">
      <w:pPr>
        <w:numPr>
          <w:ilvl w:val="0"/>
          <w:numId w:val="4"/>
        </w:numPr>
        <w:jc w:val="both"/>
        <w:rPr>
          <w:sz w:val="22"/>
        </w:rPr>
      </w:pPr>
      <w:r w:rsidRPr="00B005DF">
        <w:rPr>
          <w:sz w:val="22"/>
        </w:rPr>
        <w:t>Give access to qualify prenatal attention services and attended the complications implicated, through the assistance of 69,675 normal deliveries, 14,257 complicated deliveries, amongst others.</w:t>
      </w:r>
    </w:p>
    <w:p w:rsidR="00353ED4" w:rsidRPr="00B005DF" w:rsidRDefault="00353ED4" w:rsidP="008C691D">
      <w:pPr>
        <w:numPr>
          <w:ilvl w:val="0"/>
          <w:numId w:val="4"/>
        </w:numPr>
        <w:jc w:val="both"/>
        <w:rPr>
          <w:sz w:val="22"/>
        </w:rPr>
      </w:pPr>
      <w:r w:rsidRPr="00B005DF">
        <w:rPr>
          <w:sz w:val="22"/>
        </w:rPr>
        <w:t>Have a well informed population in sexual and reproductive matters, for which plan to work consensually with 81 town councils, 125 communities, 529 educative institutions and 5,084 families.</w:t>
      </w:r>
    </w:p>
    <w:p w:rsidR="00353ED4" w:rsidRPr="00B005DF" w:rsidRDefault="00353ED4" w:rsidP="009C1B52">
      <w:pPr>
        <w:jc w:val="both"/>
        <w:rPr>
          <w:sz w:val="22"/>
        </w:rPr>
      </w:pPr>
      <w:r w:rsidRPr="00B005DF">
        <w:rPr>
          <w:sz w:val="22"/>
          <w:u w:val="single"/>
        </w:rPr>
        <w:t>Integrated Health Insurance:</w:t>
      </w:r>
      <w:r w:rsidRPr="00B005DF">
        <w:rPr>
          <w:sz w:val="22"/>
        </w:rPr>
        <w:t xml:space="preserve"> In order to off</w:t>
      </w:r>
      <w:r>
        <w:rPr>
          <w:sz w:val="22"/>
        </w:rPr>
        <w:t>er attention to 191,799 pregnant</w:t>
      </w:r>
      <w:r w:rsidRPr="00B005DF">
        <w:rPr>
          <w:sz w:val="22"/>
        </w:rPr>
        <w:t xml:space="preserve"> women, nationwide, 82.9 millions of Nuevos Soles were assigned to SIS in 2008 (however, by the end of the year, SIS had exceeded the original budget, spending 90.5 milli</w:t>
      </w:r>
      <w:r>
        <w:rPr>
          <w:sz w:val="22"/>
        </w:rPr>
        <w:t>ons of Nuevos Soles). T</w:t>
      </w:r>
      <w:r w:rsidRPr="00B005DF">
        <w:rPr>
          <w:sz w:val="22"/>
        </w:rPr>
        <w:t>he program</w:t>
      </w:r>
      <w:r>
        <w:rPr>
          <w:sz w:val="22"/>
        </w:rPr>
        <w:t xml:space="preserve"> also </w:t>
      </w:r>
      <w:r w:rsidRPr="00B005DF">
        <w:rPr>
          <w:sz w:val="22"/>
        </w:rPr>
        <w:t>plan</w:t>
      </w:r>
      <w:r>
        <w:rPr>
          <w:sz w:val="22"/>
        </w:rPr>
        <w:t>ed</w:t>
      </w:r>
      <w:r w:rsidRPr="00B005DF">
        <w:rPr>
          <w:sz w:val="22"/>
        </w:rPr>
        <w:t xml:space="preserve"> to give assistance to 277,969 newborns with complications and to neonatal in emergency rooms.</w:t>
      </w:r>
    </w:p>
    <w:p w:rsidR="00353ED4" w:rsidRPr="00B005DF" w:rsidRDefault="00353ED4" w:rsidP="009C1B52">
      <w:pPr>
        <w:jc w:val="both"/>
        <w:rPr>
          <w:sz w:val="22"/>
        </w:rPr>
      </w:pPr>
      <w:r w:rsidRPr="00B005DF">
        <w:rPr>
          <w:sz w:val="22"/>
          <w:u w:val="single"/>
        </w:rPr>
        <w:t>Regional Authorities:</w:t>
      </w:r>
      <w:r w:rsidRPr="00B005DF">
        <w:rPr>
          <w:sz w:val="22"/>
        </w:rPr>
        <w:t xml:space="preserve"> In 2008 the total resources allocated to Regional Governments was 122.2 million; the executed amount was 162.5</w:t>
      </w:r>
      <w:r>
        <w:rPr>
          <w:sz w:val="22"/>
        </w:rPr>
        <w:t xml:space="preserve">. </w:t>
      </w:r>
      <w:r w:rsidRPr="00B005DF">
        <w:rPr>
          <w:sz w:val="22"/>
        </w:rPr>
        <w:t xml:space="preserve">41 millions of Nuevos Soles were allocated </w:t>
      </w:r>
      <w:r>
        <w:rPr>
          <w:sz w:val="22"/>
        </w:rPr>
        <w:t>in</w:t>
      </w:r>
      <w:r w:rsidRPr="00B005DF">
        <w:rPr>
          <w:sz w:val="22"/>
        </w:rPr>
        <w:t xml:space="preserve"> th</w:t>
      </w:r>
      <w:r>
        <w:rPr>
          <w:sz w:val="22"/>
        </w:rPr>
        <w:t>e construction and equipment of</w:t>
      </w:r>
      <w:r w:rsidRPr="00B005DF">
        <w:rPr>
          <w:sz w:val="22"/>
        </w:rPr>
        <w:t>:</w:t>
      </w:r>
    </w:p>
    <w:p w:rsidR="00353ED4" w:rsidRPr="00B005DF" w:rsidRDefault="00353ED4" w:rsidP="00FF0C6A">
      <w:pPr>
        <w:numPr>
          <w:ilvl w:val="0"/>
          <w:numId w:val="5"/>
        </w:numPr>
        <w:jc w:val="both"/>
        <w:rPr>
          <w:sz w:val="22"/>
        </w:rPr>
      </w:pPr>
      <w:r w:rsidRPr="00B005DF">
        <w:rPr>
          <w:sz w:val="22"/>
        </w:rPr>
        <w:t>Three “Centros Hemodadores Macroregionales” of the Hemotherapy National Net</w:t>
      </w:r>
      <w:r>
        <w:rPr>
          <w:sz w:val="22"/>
        </w:rPr>
        <w:t>work</w:t>
      </w:r>
      <w:r w:rsidRPr="00B005DF">
        <w:rPr>
          <w:sz w:val="22"/>
        </w:rPr>
        <w:t xml:space="preserve"> in Lima, La Libertad and Arequipa.</w:t>
      </w:r>
    </w:p>
    <w:p w:rsidR="00353ED4" w:rsidRPr="00B005DF" w:rsidRDefault="00353ED4" w:rsidP="00FF0C6A">
      <w:pPr>
        <w:numPr>
          <w:ilvl w:val="0"/>
          <w:numId w:val="5"/>
        </w:numPr>
        <w:jc w:val="both"/>
        <w:rPr>
          <w:sz w:val="22"/>
        </w:rPr>
      </w:pPr>
      <w:r w:rsidRPr="00B005DF">
        <w:rPr>
          <w:sz w:val="22"/>
        </w:rPr>
        <w:t>Ten centers of hemotherapy and blood banks in the departments of Loreto, Madre de Dios, Ucayali, San Martin, Amazonas, Cusco, Junin and Ancash. There will be a mayor availability of safe blood for the assistance of labor nationwide with these establishments, reducing in this way the risk of the first cause of maternal death (hemorrhage).</w:t>
      </w:r>
    </w:p>
    <w:p w:rsidR="00353ED4" w:rsidRPr="00B005DF" w:rsidRDefault="00353ED4" w:rsidP="008C691D">
      <w:pPr>
        <w:jc w:val="both"/>
        <w:rPr>
          <w:sz w:val="22"/>
        </w:rPr>
      </w:pPr>
    </w:p>
    <w:p w:rsidR="00353ED4" w:rsidRPr="00815FA1" w:rsidRDefault="00353ED4" w:rsidP="00E353E8">
      <w:pPr>
        <w:pStyle w:val="Ttulo2"/>
        <w:numPr>
          <w:ilvl w:val="0"/>
          <w:numId w:val="20"/>
        </w:numPr>
        <w:rPr>
          <w:rStyle w:val="apple-style-span"/>
        </w:rPr>
      </w:pPr>
      <w:bookmarkStart w:id="82" w:name="_Toc254270042"/>
      <w:r w:rsidRPr="00815FA1">
        <w:rPr>
          <w:rStyle w:val="apple-style-span"/>
        </w:rPr>
        <w:t>Program Budgeting Analysis: PSMN Program</w:t>
      </w:r>
      <w:bookmarkEnd w:id="82"/>
    </w:p>
    <w:p w:rsidR="00353ED4" w:rsidRPr="00CC3D2F" w:rsidRDefault="00353ED4" w:rsidP="009C1B52">
      <w:pPr>
        <w:jc w:val="both"/>
        <w:rPr>
          <w:sz w:val="22"/>
        </w:rPr>
      </w:pPr>
      <w:r>
        <w:rPr>
          <w:sz w:val="22"/>
        </w:rPr>
        <w:t>Table 36</w:t>
      </w:r>
      <w:r w:rsidRPr="00CC3D2F">
        <w:rPr>
          <w:sz w:val="22"/>
        </w:rPr>
        <w:t xml:space="preserve"> raise</w:t>
      </w:r>
      <w:r>
        <w:rPr>
          <w:sz w:val="22"/>
        </w:rPr>
        <w:t>s two important issues. F</w:t>
      </w:r>
      <w:r w:rsidRPr="00CC3D2F">
        <w:rPr>
          <w:sz w:val="22"/>
        </w:rPr>
        <w:t>irst</w:t>
      </w:r>
      <w:r>
        <w:rPr>
          <w:sz w:val="22"/>
        </w:rPr>
        <w:t>,</w:t>
      </w:r>
      <w:r w:rsidRPr="00CC3D2F">
        <w:rPr>
          <w:sz w:val="22"/>
        </w:rPr>
        <w:t xml:space="preserve"> there is no coherence between what was originally planned for 2008 and what was actually executed. The budget was expanded and yet the execution was even lower than what was originally planned, especially in capital components which brings out the poor efficacy of the government to actually carry out investment projects. Second, not only the efficacy to carry out investment projects is quite low, the budget destined t</w:t>
      </w:r>
      <w:r>
        <w:rPr>
          <w:sz w:val="22"/>
        </w:rPr>
        <w:t>o capital is, in general, small</w:t>
      </w:r>
      <w:r w:rsidRPr="00CC3D2F">
        <w:rPr>
          <w:sz w:val="22"/>
        </w:rPr>
        <w:t xml:space="preserve"> relative to the needs; given the infrastructure and equipment deficit. </w:t>
      </w:r>
    </w:p>
    <w:p w:rsidR="00353ED4" w:rsidRPr="00CC3D2F" w:rsidRDefault="00353ED4" w:rsidP="005038E5">
      <w:pPr>
        <w:jc w:val="both"/>
        <w:rPr>
          <w:sz w:val="22"/>
        </w:rPr>
      </w:pPr>
      <w:bookmarkStart w:id="83" w:name="_Ref246861743"/>
      <w:r w:rsidRPr="00CC3D2F">
        <w:rPr>
          <w:sz w:val="22"/>
        </w:rPr>
        <w:t xml:space="preserve">The government has calculated the amount of investment needed to close the health infrastructure gap in at least the districts where the universal insurance is to be implemented: 178,337 thousand dollars are needed in a 10 year investment plan to improve existing and to build new health establishments. </w:t>
      </w:r>
    </w:p>
    <w:p w:rsidR="00353ED4" w:rsidRPr="00815FA1" w:rsidRDefault="00353ED4" w:rsidP="009C1B52">
      <w:pPr>
        <w:pStyle w:val="Epgrafe"/>
        <w:jc w:val="center"/>
        <w:rPr>
          <w:color w:val="auto"/>
          <w:sz w:val="22"/>
        </w:rPr>
      </w:pPr>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36</w:t>
      </w:r>
      <w:r w:rsidRPr="00815FA1">
        <w:rPr>
          <w:color w:val="auto"/>
          <w:sz w:val="22"/>
        </w:rPr>
        <w:fldChar w:fldCharType="end"/>
      </w:r>
      <w:bookmarkEnd w:id="83"/>
      <w:r w:rsidRPr="00815FA1">
        <w:rPr>
          <w:color w:val="auto"/>
          <w:sz w:val="22"/>
        </w:rPr>
        <w:t>: Maternal and Neonatal Program spending, real Nuevos Soles (2006=100)</w:t>
      </w:r>
    </w:p>
    <w:tbl>
      <w:tblPr>
        <w:tblW w:w="10220" w:type="dxa"/>
        <w:tblInd w:w="-68" w:type="dxa"/>
        <w:tblCellMar>
          <w:left w:w="70" w:type="dxa"/>
          <w:right w:w="70" w:type="dxa"/>
        </w:tblCellMar>
        <w:tblLook w:val="00A0" w:firstRow="1" w:lastRow="0" w:firstColumn="1" w:lastColumn="0" w:noHBand="0" w:noVBand="0"/>
      </w:tblPr>
      <w:tblGrid>
        <w:gridCol w:w="1540"/>
        <w:gridCol w:w="1200"/>
        <w:gridCol w:w="1200"/>
        <w:gridCol w:w="1200"/>
        <w:gridCol w:w="1200"/>
        <w:gridCol w:w="280"/>
        <w:gridCol w:w="1200"/>
        <w:gridCol w:w="1200"/>
        <w:gridCol w:w="1200"/>
      </w:tblGrid>
      <w:tr w:rsidR="00353ED4" w:rsidRPr="00815FA1">
        <w:trPr>
          <w:trHeight w:val="1050"/>
        </w:trPr>
        <w:tc>
          <w:tcPr>
            <w:tcW w:w="1540" w:type="dxa"/>
            <w:tcBorders>
              <w:top w:val="single" w:sz="8" w:space="0" w:color="auto"/>
              <w:left w:val="single" w:sz="8" w:space="0" w:color="auto"/>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Health</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2008 (budgeted)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2008 (modified budget) -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2008 (executed) -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2008 (executed) - %</w:t>
            </w:r>
          </w:p>
        </w:tc>
        <w:tc>
          <w:tcPr>
            <w:tcW w:w="280" w:type="dxa"/>
            <w:tcBorders>
              <w:top w:val="nil"/>
              <w:left w:val="nil"/>
              <w:bottom w:val="nil"/>
              <w:right w:val="nil"/>
            </w:tcBorders>
            <w:shd w:val="clear" w:color="auto" w:fill="FFFFFF"/>
            <w:vAlign w:val="center"/>
          </w:tcPr>
          <w:p w:rsidR="00353ED4" w:rsidRPr="00815FA1" w:rsidRDefault="00353ED4" w:rsidP="006D06F8">
            <w:pPr>
              <w:spacing w:before="0" w:after="0" w:line="240" w:lineRule="auto"/>
              <w:jc w:val="center"/>
              <w:rPr>
                <w:rFonts w:eastAsia="Times New Roman"/>
                <w:b/>
                <w:bCs/>
                <w:color w:val="000000"/>
                <w:lang w:eastAsia="zh-CN"/>
              </w:rPr>
            </w:pPr>
          </w:p>
        </w:tc>
        <w:tc>
          <w:tcPr>
            <w:tcW w:w="1200" w:type="dxa"/>
            <w:tcBorders>
              <w:top w:val="single" w:sz="8" w:space="0" w:color="auto"/>
              <w:left w:val="single" w:sz="8" w:space="0" w:color="auto"/>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(budgeted)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(modified budget) -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6D06F8">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(modified budget) - %</w:t>
            </w:r>
          </w:p>
        </w:tc>
      </w:tr>
      <w:tr w:rsidR="00353ED4" w:rsidRPr="00815FA1">
        <w:trPr>
          <w:trHeight w:val="300"/>
        </w:trPr>
        <w:tc>
          <w:tcPr>
            <w:tcW w:w="15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D839AA">
            <w:pPr>
              <w:spacing w:before="0" w:after="0" w:line="240" w:lineRule="auto"/>
              <w:rPr>
                <w:rFonts w:eastAsia="Times New Roman"/>
                <w:b/>
                <w:bCs/>
                <w:color w:val="000000"/>
                <w:lang w:eastAsia="zh-CN"/>
              </w:rPr>
            </w:pPr>
            <w:r w:rsidRPr="00815FA1">
              <w:rPr>
                <w:rFonts w:eastAsia="Times New Roman"/>
                <w:b/>
                <w:bCs/>
                <w:color w:val="000000"/>
                <w:lang w:eastAsia="zh-CN"/>
              </w:rPr>
              <w:t>PSMN TOTAL</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307,288,967</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386,821,530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325,782,980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b/>
                <w:bCs/>
                <w:color w:val="000000"/>
                <w:lang w:eastAsia="zh-CN"/>
              </w:rPr>
            </w:pPr>
          </w:p>
        </w:tc>
        <w:tc>
          <w:tcPr>
            <w:tcW w:w="120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320,727,174</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442,482,946</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rPr>
                <w:rFonts w:eastAsia="Times New Roman"/>
                <w:b/>
                <w:bCs/>
                <w:color w:val="000000"/>
                <w:lang w:eastAsia="zh-CN"/>
              </w:rPr>
            </w:pPr>
            <w:r w:rsidRPr="00815FA1">
              <w:rPr>
                <w:rFonts w:eastAsia="Times New Roman"/>
                <w:b/>
                <w:bCs/>
                <w:color w:val="000000"/>
                <w:lang w:eastAsia="zh-CN"/>
              </w:rPr>
              <w:t>Recurrent</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274,245,643</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354,506,593</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318,000,815</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98%</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b/>
                <w:bCs/>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308,911,192</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421,003,254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95%</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Wages</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140,927,136</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166,628,273</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161,415,516</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51%</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163,423,528</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206,833,546</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49%</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Non-Wages</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133,318,508</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187,878,320</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156,585,299</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49%</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145,487,664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214,169,707</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51%</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rPr>
                <w:rFonts w:eastAsia="Times New Roman"/>
                <w:b/>
                <w:bCs/>
                <w:color w:val="000000"/>
                <w:lang w:eastAsia="zh-CN"/>
              </w:rPr>
            </w:pPr>
            <w:r w:rsidRPr="00815FA1">
              <w:rPr>
                <w:rFonts w:eastAsia="Times New Roman"/>
                <w:b/>
                <w:bCs/>
                <w:color w:val="000000"/>
                <w:lang w:eastAsia="zh-CN"/>
              </w:rPr>
              <w:t>Capital</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33,043,324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32,314,937</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7,842,294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2%</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b/>
                <w:bCs/>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11,815,981</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b/>
                <w:bCs/>
                <w:color w:val="000000"/>
                <w:lang w:eastAsia="zh-CN"/>
              </w:rPr>
            </w:pPr>
            <w:r w:rsidRPr="00815FA1">
              <w:rPr>
                <w:rFonts w:eastAsia="Times New Roman"/>
                <w:b/>
                <w:bCs/>
                <w:color w:val="000000"/>
                <w:lang w:eastAsia="zh-CN"/>
              </w:rPr>
              <w:t>21,479,693</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center"/>
              <w:rPr>
                <w:rFonts w:eastAsia="Times New Roman"/>
                <w:b/>
                <w:bCs/>
                <w:color w:val="000000"/>
                <w:lang w:eastAsia="zh-CN"/>
              </w:rPr>
            </w:pPr>
            <w:r w:rsidRPr="00815FA1">
              <w:rPr>
                <w:rFonts w:eastAsia="Times New Roman"/>
                <w:b/>
                <w:bCs/>
                <w:color w:val="000000"/>
                <w:lang w:eastAsia="zh-CN"/>
              </w:rPr>
              <w:t>5%</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Domestic</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31,727,903</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26,346,188</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4,618,194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59%</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10,956,188</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20,025,894</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93%</w:t>
            </w:r>
          </w:p>
        </w:tc>
      </w:tr>
      <w:tr w:rsidR="00353ED4" w:rsidRPr="00815FA1">
        <w:trPr>
          <w:trHeight w:val="300"/>
        </w:trPr>
        <w:tc>
          <w:tcPr>
            <w:tcW w:w="15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Donor</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4821896.5</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3163971.42</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40%</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color w:val="000000"/>
                <w:lang w:eastAsia="zh-CN"/>
              </w:rPr>
            </w:pPr>
          </w:p>
        </w:tc>
        <w:tc>
          <w:tcPr>
            <w:tcW w:w="1200" w:type="dxa"/>
            <w:tcBorders>
              <w:top w:val="nil"/>
              <w:left w:val="single" w:sz="8" w:space="0" w:color="auto"/>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329539.362</w:t>
            </w:r>
          </w:p>
        </w:tc>
        <w:tc>
          <w:tcPr>
            <w:tcW w:w="1200" w:type="dxa"/>
            <w:tcBorders>
              <w:top w:val="nil"/>
              <w:left w:val="nil"/>
              <w:bottom w:val="nil"/>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2%</w:t>
            </w:r>
          </w:p>
        </w:tc>
      </w:tr>
      <w:tr w:rsidR="00353ED4" w:rsidRPr="00815FA1">
        <w:trPr>
          <w:trHeight w:val="315"/>
        </w:trPr>
        <w:tc>
          <w:tcPr>
            <w:tcW w:w="15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RDR</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1,315,420</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1,146,853</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60,129</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w:t>
            </w:r>
          </w:p>
        </w:tc>
        <w:tc>
          <w:tcPr>
            <w:tcW w:w="280" w:type="dxa"/>
            <w:tcBorders>
              <w:top w:val="nil"/>
              <w:left w:val="nil"/>
              <w:bottom w:val="nil"/>
              <w:right w:val="nil"/>
            </w:tcBorders>
            <w:noWrap/>
            <w:vAlign w:val="bottom"/>
          </w:tcPr>
          <w:p w:rsidR="00353ED4" w:rsidRPr="00815FA1" w:rsidRDefault="00353ED4" w:rsidP="00D839AA">
            <w:pPr>
              <w:spacing w:before="0" w:after="0" w:line="240" w:lineRule="auto"/>
              <w:rPr>
                <w:rFonts w:eastAsia="Times New Roman"/>
                <w:color w:val="000000"/>
                <w:lang w:eastAsia="zh-CN"/>
              </w:rPr>
            </w:pPr>
          </w:p>
        </w:tc>
        <w:tc>
          <w:tcPr>
            <w:tcW w:w="1200" w:type="dxa"/>
            <w:tcBorders>
              <w:top w:val="nil"/>
              <w:left w:val="single" w:sz="8" w:space="0" w:color="auto"/>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859,793</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1,124,259</w:t>
            </w:r>
          </w:p>
        </w:tc>
        <w:tc>
          <w:tcPr>
            <w:tcW w:w="1200" w:type="dxa"/>
            <w:tcBorders>
              <w:top w:val="nil"/>
              <w:left w:val="nil"/>
              <w:bottom w:val="single" w:sz="8" w:space="0" w:color="auto"/>
              <w:right w:val="single" w:sz="8" w:space="0" w:color="auto"/>
            </w:tcBorders>
            <w:noWrap/>
            <w:vAlign w:val="bottom"/>
          </w:tcPr>
          <w:p w:rsidR="00353ED4" w:rsidRPr="00815FA1" w:rsidRDefault="00353ED4" w:rsidP="00D839AA">
            <w:pPr>
              <w:spacing w:before="0" w:after="0" w:line="240" w:lineRule="auto"/>
              <w:jc w:val="right"/>
              <w:rPr>
                <w:rFonts w:eastAsia="Times New Roman"/>
                <w:color w:val="000000"/>
                <w:lang w:eastAsia="zh-CN"/>
              </w:rPr>
            </w:pPr>
            <w:r w:rsidRPr="00815FA1">
              <w:rPr>
                <w:rFonts w:eastAsia="Times New Roman"/>
                <w:color w:val="000000"/>
                <w:lang w:eastAsia="zh-CN"/>
              </w:rPr>
              <w:t>5%</w:t>
            </w:r>
          </w:p>
        </w:tc>
      </w:tr>
    </w:tbl>
    <w:p w:rsidR="00353ED4" w:rsidRPr="00815FA1" w:rsidRDefault="00353ED4" w:rsidP="00FB5649">
      <w:pPr>
        <w:ind w:firstLine="708"/>
      </w:pPr>
      <w:r w:rsidRPr="00815FA1">
        <w:t>Source: SIAF</w:t>
      </w:r>
    </w:p>
    <w:p w:rsidR="00353ED4" w:rsidRDefault="00353ED4" w:rsidP="002441B3">
      <w:pPr>
        <w:ind w:left="360"/>
        <w:jc w:val="both"/>
        <w:rPr>
          <w:b/>
          <w:bCs/>
        </w:rPr>
      </w:pPr>
    </w:p>
    <w:p w:rsidR="00353ED4" w:rsidRDefault="00353ED4" w:rsidP="002441B3">
      <w:pPr>
        <w:ind w:left="360"/>
        <w:jc w:val="both"/>
        <w:rPr>
          <w:b/>
          <w:bCs/>
        </w:rPr>
      </w:pPr>
    </w:p>
    <w:p w:rsidR="00353ED4" w:rsidRDefault="00353ED4" w:rsidP="002441B3">
      <w:pPr>
        <w:ind w:left="360"/>
        <w:jc w:val="both"/>
        <w:rPr>
          <w:b/>
          <w:bCs/>
        </w:rPr>
      </w:pPr>
    </w:p>
    <w:p w:rsidR="00353ED4" w:rsidRDefault="00353ED4" w:rsidP="002441B3">
      <w:pPr>
        <w:ind w:left="360"/>
        <w:jc w:val="both"/>
        <w:rPr>
          <w:b/>
          <w:bCs/>
        </w:rPr>
      </w:pPr>
    </w:p>
    <w:p w:rsidR="00353ED4" w:rsidRPr="00815FA1" w:rsidRDefault="00353ED4" w:rsidP="009C1B52">
      <w:pPr>
        <w:pStyle w:val="Epgrafe"/>
        <w:jc w:val="center"/>
        <w:rPr>
          <w:color w:val="auto"/>
          <w:sz w:val="22"/>
        </w:rPr>
      </w:pPr>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37</w:t>
      </w:r>
      <w:r w:rsidRPr="00815FA1">
        <w:rPr>
          <w:color w:val="auto"/>
          <w:sz w:val="22"/>
        </w:rPr>
        <w:fldChar w:fldCharType="end"/>
      </w:r>
      <w:r w:rsidRPr="00815FA1">
        <w:rPr>
          <w:color w:val="auto"/>
          <w:sz w:val="22"/>
        </w:rPr>
        <w:t>: Maternal and Neonatal Program Budget by Program, real Nuevos Soles amount (2006=100)</w:t>
      </w:r>
    </w:p>
    <w:tbl>
      <w:tblPr>
        <w:tblW w:w="6540" w:type="dxa"/>
        <w:jc w:val="center"/>
        <w:tblCellMar>
          <w:left w:w="70" w:type="dxa"/>
          <w:right w:w="70" w:type="dxa"/>
        </w:tblCellMar>
        <w:tblLook w:val="00A0" w:firstRow="1" w:lastRow="0" w:firstColumn="1" w:lastColumn="0" w:noHBand="0" w:noVBand="0"/>
      </w:tblPr>
      <w:tblGrid>
        <w:gridCol w:w="1740"/>
        <w:gridCol w:w="1200"/>
        <w:gridCol w:w="1200"/>
        <w:gridCol w:w="1200"/>
        <w:gridCol w:w="1200"/>
      </w:tblGrid>
      <w:tr w:rsidR="00353ED4" w:rsidRPr="00815FA1">
        <w:trPr>
          <w:trHeight w:val="315"/>
          <w:jc w:val="center"/>
        </w:trPr>
        <w:tc>
          <w:tcPr>
            <w:tcW w:w="1740" w:type="dxa"/>
            <w:tcBorders>
              <w:top w:val="single" w:sz="8" w:space="0" w:color="auto"/>
              <w:left w:val="single" w:sz="8" w:space="0" w:color="auto"/>
              <w:bottom w:val="single" w:sz="8" w:space="0" w:color="auto"/>
              <w:right w:val="single" w:sz="8" w:space="0" w:color="auto"/>
            </w:tcBorders>
            <w:shd w:val="clear" w:color="auto" w:fill="31849B"/>
            <w:noWrap/>
            <w:vAlign w:val="center"/>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PSMN</w:t>
            </w:r>
          </w:p>
        </w:tc>
        <w:tc>
          <w:tcPr>
            <w:tcW w:w="1200" w:type="dxa"/>
            <w:tcBorders>
              <w:top w:val="single" w:sz="8" w:space="0" w:color="auto"/>
              <w:left w:val="nil"/>
              <w:bottom w:val="single" w:sz="8" w:space="0" w:color="auto"/>
              <w:right w:val="single" w:sz="8" w:space="0" w:color="auto"/>
            </w:tcBorders>
            <w:shd w:val="clear" w:color="auto" w:fill="31849B"/>
            <w:noWrap/>
            <w:vAlign w:val="center"/>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(budgeted)- Amount</w:t>
            </w:r>
          </w:p>
        </w:tc>
        <w:tc>
          <w:tcPr>
            <w:tcW w:w="1200" w:type="dxa"/>
            <w:tcBorders>
              <w:top w:val="single" w:sz="8" w:space="0" w:color="auto"/>
              <w:left w:val="nil"/>
              <w:bottom w:val="single" w:sz="8" w:space="0" w:color="auto"/>
              <w:right w:val="single" w:sz="8" w:space="0" w:color="auto"/>
            </w:tcBorders>
            <w:shd w:val="clear" w:color="auto" w:fill="31849B"/>
            <w:noWrap/>
            <w:vAlign w:val="center"/>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(budgeted)- %</w:t>
            </w:r>
          </w:p>
        </w:tc>
        <w:tc>
          <w:tcPr>
            <w:tcW w:w="1200" w:type="dxa"/>
            <w:tcBorders>
              <w:top w:val="single" w:sz="8" w:space="0" w:color="auto"/>
              <w:left w:val="nil"/>
              <w:bottom w:val="single" w:sz="8" w:space="0" w:color="auto"/>
              <w:right w:val="single" w:sz="8" w:space="0" w:color="auto"/>
            </w:tcBorders>
            <w:shd w:val="clear" w:color="auto" w:fill="31849B"/>
            <w:noWrap/>
            <w:vAlign w:val="center"/>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(modified budget)- Amount</w:t>
            </w:r>
          </w:p>
        </w:tc>
        <w:tc>
          <w:tcPr>
            <w:tcW w:w="1200" w:type="dxa"/>
            <w:tcBorders>
              <w:top w:val="single" w:sz="8" w:space="0" w:color="auto"/>
              <w:left w:val="nil"/>
              <w:bottom w:val="single" w:sz="8" w:space="0" w:color="auto"/>
              <w:right w:val="single" w:sz="8" w:space="0" w:color="auto"/>
            </w:tcBorders>
            <w:shd w:val="clear" w:color="auto" w:fill="31849B"/>
            <w:noWrap/>
            <w:vAlign w:val="center"/>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2009 (modified budget) -  %</w:t>
            </w:r>
          </w:p>
        </w:tc>
      </w:tr>
      <w:tr w:rsidR="00353ED4" w:rsidRPr="00815FA1">
        <w:trPr>
          <w:trHeight w:val="300"/>
          <w:jc w:val="center"/>
        </w:trPr>
        <w:tc>
          <w:tcPr>
            <w:tcW w:w="1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Collective Health</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10,147,631</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15,317,083</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Recurrent</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10,133,339</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15,243,717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7,285,144</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10,923,590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72%</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Non-Wages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2,848,195</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28%</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4,320,127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28%</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Capital</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14,292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73,367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0%</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Domestic</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14,292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9,814</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13%</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Donor</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63552.1247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87%</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Loans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r>
      <w:tr w:rsidR="00353ED4" w:rsidRPr="00815FA1">
        <w:trPr>
          <w:trHeight w:val="315"/>
          <w:jc w:val="center"/>
        </w:trPr>
        <w:tc>
          <w:tcPr>
            <w:tcW w:w="1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RDR</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107,193</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750%</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107,193</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146%</w:t>
            </w:r>
          </w:p>
        </w:tc>
      </w:tr>
      <w:tr w:rsidR="00353ED4" w:rsidRPr="00815FA1">
        <w:trPr>
          <w:trHeight w:val="300"/>
          <w:jc w:val="center"/>
        </w:trPr>
        <w:tc>
          <w:tcPr>
            <w:tcW w:w="1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Individual Health</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299,594,566</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413,557,529</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Recurrent</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288,663,169</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96%</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393,535,652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95%</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150,661,918</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189,684,091</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48%</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Non-Wages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138,001,252</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48%</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203,851,561</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52%</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Capital</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10,931,397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4%</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20,021,877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5%</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Domestic</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10,931,397</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15,315,116</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76%</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Donor</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4706760.85</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24%</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Loans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r>
      <w:tr w:rsidR="00353ED4" w:rsidRPr="00815FA1">
        <w:trPr>
          <w:trHeight w:val="315"/>
          <w:jc w:val="center"/>
        </w:trPr>
        <w:tc>
          <w:tcPr>
            <w:tcW w:w="1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RDR</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681,138</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6%</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631,931</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3%</w:t>
            </w:r>
          </w:p>
        </w:tc>
      </w:tr>
      <w:tr w:rsidR="00353ED4" w:rsidRPr="00815FA1">
        <w:trPr>
          <w:trHeight w:val="300"/>
          <w:jc w:val="center"/>
        </w:trPr>
        <w:tc>
          <w:tcPr>
            <w:tcW w:w="1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Other Expenditure</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10,196,645</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12,484,075</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Recurrent</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10,114,684</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99%</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12,223,885</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98%</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5,476,466</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54%</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6,225,866</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51%</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Non-Wages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4,638,218</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46%</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5,998,019</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49%</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FB5649">
            <w:pPr>
              <w:spacing w:before="0" w:after="0" w:line="240" w:lineRule="auto"/>
              <w:rPr>
                <w:rFonts w:eastAsia="Times New Roman"/>
                <w:b/>
                <w:bCs/>
                <w:color w:val="000000"/>
                <w:lang w:eastAsia="zh-CN"/>
              </w:rPr>
            </w:pPr>
            <w:r w:rsidRPr="00815FA1">
              <w:rPr>
                <w:rFonts w:eastAsia="Times New Roman"/>
                <w:b/>
                <w:bCs/>
                <w:color w:val="000000"/>
                <w:lang w:eastAsia="zh-CN"/>
              </w:rPr>
              <w:t>Capital</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81,961</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1%</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b/>
                <w:bCs/>
                <w:color w:val="000000"/>
                <w:lang w:eastAsia="zh-CN"/>
              </w:rPr>
            </w:pPr>
            <w:r w:rsidRPr="00815FA1">
              <w:rPr>
                <w:rFonts w:eastAsia="Times New Roman"/>
                <w:b/>
                <w:bCs/>
                <w:color w:val="000000"/>
                <w:lang w:eastAsia="zh-CN"/>
              </w:rPr>
              <w:t>260,190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center"/>
              <w:rPr>
                <w:rFonts w:eastAsia="Times New Roman"/>
                <w:b/>
                <w:bCs/>
                <w:color w:val="000000"/>
                <w:lang w:eastAsia="zh-CN"/>
              </w:rPr>
            </w:pPr>
            <w:r w:rsidRPr="00815FA1">
              <w:rPr>
                <w:rFonts w:eastAsia="Times New Roman"/>
                <w:b/>
                <w:bCs/>
                <w:color w:val="000000"/>
                <w:lang w:eastAsia="zh-CN"/>
              </w:rPr>
              <w:t>2%</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Domestic</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10,499</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13%</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21,665</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8%</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Donor</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238525.251</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92%</w:t>
            </w:r>
          </w:p>
        </w:tc>
      </w:tr>
      <w:tr w:rsidR="00353ED4" w:rsidRPr="00815FA1">
        <w:trPr>
          <w:trHeight w:val="300"/>
          <w:jc w:val="center"/>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Loans</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0%</w:t>
            </w:r>
          </w:p>
        </w:tc>
      </w:tr>
      <w:tr w:rsidR="00353ED4" w:rsidRPr="00815FA1">
        <w:trPr>
          <w:trHeight w:val="315"/>
          <w:jc w:val="center"/>
        </w:trPr>
        <w:tc>
          <w:tcPr>
            <w:tcW w:w="1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RDR</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71,462</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87%</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385,135</w:t>
            </w:r>
          </w:p>
        </w:tc>
        <w:tc>
          <w:tcPr>
            <w:tcW w:w="1200" w:type="dxa"/>
            <w:tcBorders>
              <w:top w:val="nil"/>
              <w:left w:val="nil"/>
              <w:bottom w:val="single" w:sz="8" w:space="0" w:color="auto"/>
              <w:right w:val="single" w:sz="8" w:space="0" w:color="auto"/>
            </w:tcBorders>
            <w:noWrap/>
            <w:vAlign w:val="bottom"/>
          </w:tcPr>
          <w:p w:rsidR="00353ED4" w:rsidRPr="00815FA1" w:rsidRDefault="00353ED4" w:rsidP="00FB5649">
            <w:pPr>
              <w:spacing w:before="0" w:after="0" w:line="240" w:lineRule="auto"/>
              <w:jc w:val="right"/>
              <w:rPr>
                <w:rFonts w:eastAsia="Times New Roman"/>
                <w:color w:val="000000"/>
                <w:lang w:eastAsia="zh-CN"/>
              </w:rPr>
            </w:pPr>
            <w:r w:rsidRPr="00815FA1">
              <w:rPr>
                <w:rFonts w:eastAsia="Times New Roman"/>
                <w:color w:val="000000"/>
                <w:lang w:eastAsia="zh-CN"/>
              </w:rPr>
              <w:t>148%</w:t>
            </w:r>
          </w:p>
        </w:tc>
      </w:tr>
    </w:tbl>
    <w:p w:rsidR="00353ED4" w:rsidRPr="00815FA1" w:rsidRDefault="00353ED4" w:rsidP="00FB5649">
      <w:pPr>
        <w:ind w:firstLine="708"/>
      </w:pPr>
      <w:r w:rsidRPr="00815FA1">
        <w:t>Source: SIAF</w:t>
      </w:r>
    </w:p>
    <w:p w:rsidR="00353ED4" w:rsidRPr="00CC3D2F" w:rsidRDefault="00353ED4" w:rsidP="003F37B2">
      <w:pPr>
        <w:jc w:val="both"/>
        <w:rPr>
          <w:sz w:val="22"/>
        </w:rPr>
      </w:pPr>
      <w:r w:rsidRPr="00CC3D2F">
        <w:rPr>
          <w:sz w:val="22"/>
        </w:rPr>
        <w:t>According to MEF, the Strategic Program of Maternal and Neonatal Health executed 67%, of its physical goals, a pretty low level of general advance, especially when compared to the 91% advance of the execution of the assigned budget. This implies that the money is being expended, yet the goals aren’t being completely accomplished.</w:t>
      </w:r>
    </w:p>
    <w:p w:rsidR="00353ED4" w:rsidRPr="00CC3D2F" w:rsidRDefault="00353ED4" w:rsidP="009C1B52">
      <w:pPr>
        <w:jc w:val="both"/>
        <w:rPr>
          <w:sz w:val="22"/>
        </w:rPr>
      </w:pPr>
      <w:r w:rsidRPr="00CC3D2F">
        <w:rPr>
          <w:sz w:val="22"/>
        </w:rPr>
        <w:t xml:space="preserve">Given that the program has been divided among its main components and each component has been assigned different goals, in </w:t>
      </w:r>
      <w:r>
        <w:rPr>
          <w:sz w:val="22"/>
        </w:rPr>
        <w:t xml:space="preserve">Table 38 </w:t>
      </w:r>
      <w:r w:rsidRPr="00CC3D2F">
        <w:rPr>
          <w:sz w:val="22"/>
        </w:rPr>
        <w:t xml:space="preserve">we present the budget execution for each main component. In general, as has been shown before, the budget was </w:t>
      </w:r>
      <w:r>
        <w:rPr>
          <w:sz w:val="22"/>
        </w:rPr>
        <w:t>sub-</w:t>
      </w:r>
      <w:r w:rsidRPr="00CC3D2F">
        <w:rPr>
          <w:sz w:val="22"/>
        </w:rPr>
        <w:t>executed.</w:t>
      </w:r>
    </w:p>
    <w:p w:rsidR="00353ED4" w:rsidRPr="00815FA1" w:rsidRDefault="00353ED4" w:rsidP="009C1B52">
      <w:pPr>
        <w:pStyle w:val="Epgrafe"/>
        <w:jc w:val="center"/>
        <w:rPr>
          <w:color w:val="auto"/>
          <w:sz w:val="22"/>
        </w:rPr>
      </w:pPr>
      <w:bookmarkStart w:id="84" w:name="_Ref246862324"/>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38</w:t>
      </w:r>
      <w:r w:rsidRPr="00815FA1">
        <w:rPr>
          <w:color w:val="auto"/>
          <w:sz w:val="22"/>
        </w:rPr>
        <w:fldChar w:fldCharType="end"/>
      </w:r>
      <w:bookmarkEnd w:id="84"/>
      <w:r w:rsidRPr="00815FA1">
        <w:rPr>
          <w:color w:val="auto"/>
          <w:sz w:val="22"/>
        </w:rPr>
        <w:t xml:space="preserve">: Modified and </w:t>
      </w:r>
      <w:r>
        <w:rPr>
          <w:color w:val="auto"/>
          <w:sz w:val="22"/>
        </w:rPr>
        <w:t>e</w:t>
      </w:r>
      <w:r w:rsidRPr="00815FA1">
        <w:rPr>
          <w:color w:val="auto"/>
          <w:sz w:val="22"/>
        </w:rPr>
        <w:t xml:space="preserve">xecuted </w:t>
      </w:r>
      <w:r>
        <w:rPr>
          <w:color w:val="auto"/>
          <w:sz w:val="22"/>
        </w:rPr>
        <w:t>b</w:t>
      </w:r>
      <w:r w:rsidRPr="00815FA1">
        <w:rPr>
          <w:color w:val="auto"/>
          <w:sz w:val="22"/>
        </w:rPr>
        <w:t xml:space="preserve">udget by component of the </w:t>
      </w:r>
      <w:r>
        <w:rPr>
          <w:color w:val="auto"/>
          <w:sz w:val="22"/>
        </w:rPr>
        <w:t xml:space="preserve">PSMN </w:t>
      </w:r>
    </w:p>
    <w:tbl>
      <w:tblPr>
        <w:tblW w:w="6002" w:type="dxa"/>
        <w:jc w:val="center"/>
        <w:tblCellMar>
          <w:left w:w="70" w:type="dxa"/>
          <w:right w:w="70" w:type="dxa"/>
        </w:tblCellMar>
        <w:tblLook w:val="00A0" w:firstRow="1" w:lastRow="0" w:firstColumn="1" w:lastColumn="0" w:noHBand="0" w:noVBand="0"/>
      </w:tblPr>
      <w:tblGrid>
        <w:gridCol w:w="3208"/>
        <w:gridCol w:w="1333"/>
        <w:gridCol w:w="1461"/>
      </w:tblGrid>
      <w:tr w:rsidR="00353ED4" w:rsidRPr="00815FA1">
        <w:trPr>
          <w:trHeight w:val="216"/>
          <w:jc w:val="center"/>
        </w:trPr>
        <w:tc>
          <w:tcPr>
            <w:tcW w:w="3208" w:type="dxa"/>
            <w:tcBorders>
              <w:top w:val="single" w:sz="4" w:space="0" w:color="000000"/>
              <w:left w:val="single" w:sz="4" w:space="0" w:color="000000"/>
              <w:bottom w:val="single" w:sz="4" w:space="0" w:color="auto"/>
              <w:right w:val="single" w:sz="4" w:space="0" w:color="auto"/>
            </w:tcBorders>
            <w:shd w:val="clear" w:color="auto" w:fill="31849B"/>
            <w:noWrap/>
            <w:vAlign w:val="center"/>
          </w:tcPr>
          <w:p w:rsidR="00353ED4" w:rsidRPr="00815FA1" w:rsidRDefault="00353ED4" w:rsidP="008951B9">
            <w:pPr>
              <w:spacing w:before="120" w:after="0" w:line="240" w:lineRule="auto"/>
              <w:jc w:val="center"/>
              <w:rPr>
                <w:color w:val="000000"/>
              </w:rPr>
            </w:pPr>
          </w:p>
        </w:tc>
        <w:tc>
          <w:tcPr>
            <w:tcW w:w="1333" w:type="dxa"/>
            <w:tcBorders>
              <w:top w:val="single" w:sz="4" w:space="0" w:color="auto"/>
              <w:left w:val="single" w:sz="4" w:space="0" w:color="auto"/>
              <w:bottom w:val="single" w:sz="4" w:space="0" w:color="auto"/>
              <w:right w:val="single" w:sz="4" w:space="0" w:color="auto"/>
            </w:tcBorders>
            <w:shd w:val="clear" w:color="auto" w:fill="31849B"/>
            <w:noWrap/>
            <w:vAlign w:val="center"/>
          </w:tcPr>
          <w:p w:rsidR="00353ED4" w:rsidRPr="00815FA1" w:rsidRDefault="00353ED4" w:rsidP="008951B9">
            <w:pPr>
              <w:spacing w:before="120" w:after="0" w:line="240" w:lineRule="auto"/>
              <w:jc w:val="center"/>
              <w:rPr>
                <w:b/>
                <w:color w:val="000000"/>
              </w:rPr>
            </w:pPr>
            <w:r w:rsidRPr="00815FA1">
              <w:rPr>
                <w:b/>
                <w:color w:val="000000"/>
              </w:rPr>
              <w:t>2008</w:t>
            </w:r>
          </w:p>
          <w:p w:rsidR="00353ED4" w:rsidRPr="00815FA1" w:rsidRDefault="00353ED4" w:rsidP="008951B9">
            <w:pPr>
              <w:spacing w:before="120" w:after="0" w:line="240" w:lineRule="auto"/>
              <w:jc w:val="center"/>
              <w:rPr>
                <w:b/>
                <w:color w:val="000000"/>
              </w:rPr>
            </w:pPr>
            <w:r w:rsidRPr="00815FA1">
              <w:rPr>
                <w:b/>
                <w:color w:val="000000"/>
              </w:rPr>
              <w:t>Modified Budget</w:t>
            </w:r>
          </w:p>
        </w:tc>
        <w:tc>
          <w:tcPr>
            <w:tcW w:w="1461" w:type="dxa"/>
            <w:tcBorders>
              <w:top w:val="single" w:sz="4" w:space="0" w:color="auto"/>
              <w:left w:val="single" w:sz="4" w:space="0" w:color="auto"/>
              <w:bottom w:val="single" w:sz="4" w:space="0" w:color="auto"/>
              <w:right w:val="single" w:sz="4" w:space="0" w:color="auto"/>
            </w:tcBorders>
            <w:shd w:val="clear" w:color="auto" w:fill="31849B"/>
            <w:noWrap/>
            <w:vAlign w:val="center"/>
          </w:tcPr>
          <w:p w:rsidR="00353ED4" w:rsidRPr="00815FA1" w:rsidRDefault="00353ED4" w:rsidP="008951B9">
            <w:pPr>
              <w:spacing w:before="120" w:after="0" w:line="240" w:lineRule="auto"/>
              <w:jc w:val="center"/>
              <w:rPr>
                <w:b/>
                <w:color w:val="000000"/>
              </w:rPr>
            </w:pPr>
            <w:r w:rsidRPr="00815FA1">
              <w:rPr>
                <w:b/>
                <w:color w:val="000000"/>
              </w:rPr>
              <w:t>2008 Executed Budget</w:t>
            </w:r>
          </w:p>
        </w:tc>
      </w:tr>
      <w:tr w:rsidR="00353ED4" w:rsidRPr="00815FA1">
        <w:trPr>
          <w:trHeight w:val="953"/>
          <w:jc w:val="center"/>
        </w:trPr>
        <w:tc>
          <w:tcPr>
            <w:tcW w:w="3208"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rPr>
                <w:color w:val="000000"/>
              </w:rPr>
            </w:pPr>
            <w:r w:rsidRPr="00815FA1">
              <w:rPr>
                <w:color w:val="000000"/>
              </w:rPr>
              <w:t>Conduction of the Management of the strategy</w:t>
            </w:r>
          </w:p>
        </w:tc>
        <w:tc>
          <w:tcPr>
            <w:tcW w:w="1333"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16,155,768</w:t>
            </w:r>
          </w:p>
        </w:tc>
        <w:tc>
          <w:tcPr>
            <w:tcW w:w="1461"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14,184,116</w:t>
            </w:r>
          </w:p>
        </w:tc>
      </w:tr>
      <w:tr w:rsidR="00353ED4" w:rsidRPr="00815FA1">
        <w:trPr>
          <w:trHeight w:val="1420"/>
          <w:jc w:val="center"/>
        </w:trPr>
        <w:tc>
          <w:tcPr>
            <w:tcW w:w="3208"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rPr>
                <w:color w:val="000000"/>
              </w:rPr>
            </w:pPr>
            <w:r w:rsidRPr="00815FA1">
              <w:rPr>
                <w:color w:val="000000"/>
              </w:rPr>
              <w:t>Population with knowledge on sexual and reproductive health  and that have access to birth control methods</w:t>
            </w:r>
          </w:p>
        </w:tc>
        <w:tc>
          <w:tcPr>
            <w:tcW w:w="1333"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37,346,614</w:t>
            </w:r>
          </w:p>
        </w:tc>
        <w:tc>
          <w:tcPr>
            <w:tcW w:w="1461"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30,393,982</w:t>
            </w:r>
          </w:p>
        </w:tc>
      </w:tr>
      <w:tr w:rsidR="00353ED4" w:rsidRPr="00815FA1">
        <w:trPr>
          <w:trHeight w:val="987"/>
          <w:jc w:val="center"/>
        </w:trPr>
        <w:tc>
          <w:tcPr>
            <w:tcW w:w="3208"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rPr>
                <w:color w:val="000000"/>
              </w:rPr>
            </w:pPr>
            <w:r w:rsidRPr="00815FA1">
              <w:rPr>
                <w:color w:val="000000"/>
              </w:rPr>
              <w:t>Reduction of Maternal mortality and morbidity</w:t>
            </w:r>
          </w:p>
        </w:tc>
        <w:tc>
          <w:tcPr>
            <w:tcW w:w="1333"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262,784,972</w:t>
            </w:r>
          </w:p>
        </w:tc>
        <w:tc>
          <w:tcPr>
            <w:tcW w:w="1461"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239,560,909</w:t>
            </w:r>
          </w:p>
        </w:tc>
      </w:tr>
      <w:tr w:rsidR="00353ED4" w:rsidRPr="00815FA1">
        <w:trPr>
          <w:trHeight w:val="973"/>
          <w:jc w:val="center"/>
        </w:trPr>
        <w:tc>
          <w:tcPr>
            <w:tcW w:w="3208"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rPr>
                <w:color w:val="000000"/>
              </w:rPr>
            </w:pPr>
            <w:r w:rsidRPr="00815FA1">
              <w:rPr>
                <w:color w:val="000000"/>
              </w:rPr>
              <w:t>Reduction of neonatal mortality and morbidity</w:t>
            </w:r>
          </w:p>
        </w:tc>
        <w:tc>
          <w:tcPr>
            <w:tcW w:w="1333"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86,256,816</w:t>
            </w:r>
          </w:p>
        </w:tc>
        <w:tc>
          <w:tcPr>
            <w:tcW w:w="1461" w:type="dxa"/>
            <w:tcBorders>
              <w:top w:val="single" w:sz="4" w:space="0" w:color="auto"/>
              <w:left w:val="single" w:sz="4" w:space="0" w:color="auto"/>
              <w:bottom w:val="single" w:sz="4" w:space="0" w:color="auto"/>
              <w:right w:val="single" w:sz="4" w:space="0" w:color="auto"/>
            </w:tcBorders>
            <w:noWrap/>
            <w:vAlign w:val="center"/>
          </w:tcPr>
          <w:p w:rsidR="00353ED4" w:rsidRPr="00815FA1" w:rsidRDefault="00353ED4" w:rsidP="008951B9">
            <w:pPr>
              <w:spacing w:before="120" w:after="0" w:line="240" w:lineRule="auto"/>
              <w:jc w:val="center"/>
              <w:rPr>
                <w:color w:val="000000"/>
              </w:rPr>
            </w:pPr>
            <w:r w:rsidRPr="00815FA1">
              <w:rPr>
                <w:color w:val="000000"/>
              </w:rPr>
              <w:t>77,276,867</w:t>
            </w:r>
          </w:p>
        </w:tc>
      </w:tr>
      <w:tr w:rsidR="00353ED4" w:rsidRPr="00815FA1">
        <w:trPr>
          <w:trHeight w:val="216"/>
          <w:jc w:val="center"/>
        </w:trPr>
        <w:tc>
          <w:tcPr>
            <w:tcW w:w="3208" w:type="dxa"/>
            <w:tcBorders>
              <w:top w:val="single" w:sz="4" w:space="0" w:color="auto"/>
              <w:left w:val="single" w:sz="4" w:space="0" w:color="auto"/>
              <w:bottom w:val="single" w:sz="4" w:space="0" w:color="auto"/>
              <w:right w:val="single" w:sz="4" w:space="0" w:color="auto"/>
            </w:tcBorders>
            <w:noWrap/>
            <w:vAlign w:val="bottom"/>
          </w:tcPr>
          <w:p w:rsidR="00353ED4" w:rsidRPr="00815FA1" w:rsidRDefault="00353ED4" w:rsidP="008951B9">
            <w:pPr>
              <w:spacing w:before="120" w:after="0" w:line="240" w:lineRule="auto"/>
              <w:rPr>
                <w:color w:val="000000"/>
              </w:rPr>
            </w:pPr>
            <w:r w:rsidRPr="00815FA1">
              <w:rPr>
                <w:color w:val="000000"/>
              </w:rPr>
              <w:t> TOTAL</w:t>
            </w:r>
          </w:p>
        </w:tc>
        <w:tc>
          <w:tcPr>
            <w:tcW w:w="1333" w:type="dxa"/>
            <w:tcBorders>
              <w:top w:val="single" w:sz="4" w:space="0" w:color="auto"/>
              <w:left w:val="nil"/>
              <w:bottom w:val="single" w:sz="4" w:space="0" w:color="000000"/>
              <w:right w:val="nil"/>
            </w:tcBorders>
            <w:noWrap/>
            <w:vAlign w:val="bottom"/>
          </w:tcPr>
          <w:p w:rsidR="00353ED4" w:rsidRPr="00815FA1" w:rsidRDefault="00353ED4" w:rsidP="008951B9">
            <w:pPr>
              <w:spacing w:before="120" w:after="0" w:line="240" w:lineRule="auto"/>
              <w:jc w:val="right"/>
              <w:rPr>
                <w:color w:val="000000"/>
              </w:rPr>
            </w:pPr>
            <w:r w:rsidRPr="00815FA1">
              <w:rPr>
                <w:color w:val="000000"/>
              </w:rPr>
              <w:t>402,544,170</w:t>
            </w:r>
          </w:p>
        </w:tc>
        <w:tc>
          <w:tcPr>
            <w:tcW w:w="1461" w:type="dxa"/>
            <w:tcBorders>
              <w:top w:val="single" w:sz="4" w:space="0" w:color="auto"/>
              <w:left w:val="nil"/>
              <w:bottom w:val="single" w:sz="4" w:space="0" w:color="000000"/>
              <w:right w:val="single" w:sz="4" w:space="0" w:color="000000"/>
            </w:tcBorders>
            <w:noWrap/>
            <w:vAlign w:val="bottom"/>
          </w:tcPr>
          <w:p w:rsidR="00353ED4" w:rsidRPr="00815FA1" w:rsidRDefault="00353ED4" w:rsidP="008951B9">
            <w:pPr>
              <w:spacing w:before="120" w:after="0" w:line="240" w:lineRule="auto"/>
              <w:jc w:val="right"/>
              <w:rPr>
                <w:color w:val="000000"/>
              </w:rPr>
            </w:pPr>
            <w:r w:rsidRPr="00815FA1">
              <w:rPr>
                <w:color w:val="000000"/>
              </w:rPr>
              <w:t>361,415,874</w:t>
            </w:r>
          </w:p>
        </w:tc>
      </w:tr>
    </w:tbl>
    <w:p w:rsidR="00353ED4" w:rsidRPr="00815FA1" w:rsidRDefault="00353ED4" w:rsidP="00A46D15">
      <w:pPr>
        <w:ind w:firstLine="708"/>
      </w:pPr>
      <w:r w:rsidRPr="00815FA1">
        <w:t>Source: SIAF</w:t>
      </w:r>
    </w:p>
    <w:p w:rsidR="00353ED4" w:rsidRPr="00CC3D2F" w:rsidRDefault="00353ED4" w:rsidP="009C1B52">
      <w:pPr>
        <w:ind w:left="360"/>
        <w:jc w:val="both"/>
        <w:rPr>
          <w:sz w:val="22"/>
        </w:rPr>
      </w:pPr>
      <w:r>
        <w:rPr>
          <w:sz w:val="22"/>
        </w:rPr>
        <w:t xml:space="preserve">Table 39 </w:t>
      </w:r>
      <w:r w:rsidRPr="00CC3D2F">
        <w:rPr>
          <w:sz w:val="22"/>
        </w:rPr>
        <w:t>shows execution and budget for 2008 just for deliveries and puerperal attentions, related to the indicators needed to accomplish the reduction of the maternal mortality and morbidity (see Table 1</w:t>
      </w:r>
      <w:r>
        <w:rPr>
          <w:sz w:val="22"/>
        </w:rPr>
        <w:t>9</w:t>
      </w:r>
      <w:r w:rsidRPr="00CC3D2F">
        <w:rPr>
          <w:sz w:val="22"/>
        </w:rPr>
        <w:t xml:space="preserve">).  </w:t>
      </w:r>
    </w:p>
    <w:p w:rsidR="00353ED4" w:rsidRPr="00815FA1" w:rsidRDefault="00353ED4" w:rsidP="009C1B52">
      <w:pPr>
        <w:pStyle w:val="Epgrafe"/>
        <w:jc w:val="center"/>
        <w:rPr>
          <w:color w:val="auto"/>
          <w:sz w:val="22"/>
        </w:rPr>
      </w:pPr>
      <w:bookmarkStart w:id="85" w:name="_Ref246862476"/>
      <w:r w:rsidRPr="00815FA1">
        <w:rPr>
          <w:color w:val="auto"/>
          <w:sz w:val="22"/>
        </w:rPr>
        <w:t xml:space="preserve">Table </w:t>
      </w:r>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39</w:t>
      </w:r>
      <w:r w:rsidRPr="00815FA1">
        <w:rPr>
          <w:color w:val="auto"/>
          <w:sz w:val="22"/>
        </w:rPr>
        <w:fldChar w:fldCharType="end"/>
      </w:r>
      <w:bookmarkEnd w:id="85"/>
      <w:r w:rsidRPr="00815FA1">
        <w:rPr>
          <w:color w:val="auto"/>
          <w:sz w:val="22"/>
        </w:rPr>
        <w:t xml:space="preserve">: Budget of the PSNM- Institutional deliveries and puerperal attention, 2008 </w:t>
      </w:r>
    </w:p>
    <w:tbl>
      <w:tblPr>
        <w:tblW w:w="8980" w:type="dxa"/>
        <w:tblInd w:w="-68" w:type="dxa"/>
        <w:tblCellMar>
          <w:left w:w="70" w:type="dxa"/>
          <w:right w:w="70" w:type="dxa"/>
        </w:tblCellMar>
        <w:tblLook w:val="00A0" w:firstRow="1" w:lastRow="0" w:firstColumn="1" w:lastColumn="0" w:noHBand="0" w:noVBand="0"/>
      </w:tblPr>
      <w:tblGrid>
        <w:gridCol w:w="1740"/>
        <w:gridCol w:w="1200"/>
        <w:gridCol w:w="1200"/>
        <w:gridCol w:w="1200"/>
        <w:gridCol w:w="1200"/>
        <w:gridCol w:w="1240"/>
        <w:gridCol w:w="1200"/>
      </w:tblGrid>
      <w:tr w:rsidR="00353ED4" w:rsidRPr="00815FA1">
        <w:trPr>
          <w:trHeight w:val="540"/>
        </w:trPr>
        <w:tc>
          <w:tcPr>
            <w:tcW w:w="1740" w:type="dxa"/>
            <w:tcBorders>
              <w:top w:val="single" w:sz="8" w:space="0" w:color="auto"/>
              <w:left w:val="single" w:sz="8" w:space="0" w:color="auto"/>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Health</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PIA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PIA (%)</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PIM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PIM (%)</w:t>
            </w:r>
          </w:p>
        </w:tc>
        <w:tc>
          <w:tcPr>
            <w:tcW w:w="124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Executed (Amount)</w:t>
            </w:r>
          </w:p>
        </w:tc>
        <w:tc>
          <w:tcPr>
            <w:tcW w:w="120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lang w:eastAsia="zh-CN"/>
              </w:rPr>
            </w:pPr>
            <w:r w:rsidRPr="00815FA1">
              <w:rPr>
                <w:rFonts w:eastAsia="Times New Roman"/>
                <w:b/>
                <w:bCs/>
                <w:color w:val="000000"/>
                <w:lang w:eastAsia="zh-CN"/>
              </w:rPr>
              <w:t>Executed (%)</w:t>
            </w:r>
          </w:p>
        </w:tc>
      </w:tr>
      <w:tr w:rsidR="00353ED4" w:rsidRPr="00815FA1">
        <w:trPr>
          <w:trHeight w:val="300"/>
        </w:trPr>
        <w:tc>
          <w:tcPr>
            <w:tcW w:w="1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A46D15">
            <w:pPr>
              <w:spacing w:before="0" w:after="0" w:line="240" w:lineRule="auto"/>
              <w:rPr>
                <w:rFonts w:eastAsia="Times New Roman"/>
                <w:b/>
                <w:bCs/>
                <w:color w:val="000000"/>
                <w:lang w:eastAsia="zh-CN"/>
              </w:rPr>
            </w:pPr>
            <w:r w:rsidRPr="00815FA1">
              <w:rPr>
                <w:rFonts w:eastAsia="Times New Roman"/>
                <w:b/>
                <w:bCs/>
                <w:color w:val="000000"/>
                <w:lang w:eastAsia="zh-CN"/>
              </w:rPr>
              <w:t>PSMN</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106,736,739</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151,475,172</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c>
          <w:tcPr>
            <w:tcW w:w="124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137,406,206</w:t>
            </w:r>
          </w:p>
        </w:tc>
        <w:tc>
          <w:tcPr>
            <w:tcW w:w="1200" w:type="dxa"/>
            <w:tcBorders>
              <w:top w:val="nil"/>
              <w:left w:val="nil"/>
              <w:bottom w:val="nil"/>
              <w:right w:val="single" w:sz="8" w:space="0" w:color="auto"/>
            </w:tcBorders>
            <w:shd w:val="clear" w:color="000000" w:fill="DBE5F1"/>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100%</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A46D15">
            <w:pPr>
              <w:spacing w:before="0" w:after="0" w:line="240" w:lineRule="auto"/>
              <w:rPr>
                <w:rFonts w:eastAsia="Times New Roman"/>
                <w:b/>
                <w:bCs/>
                <w:color w:val="000000"/>
                <w:lang w:eastAsia="zh-CN"/>
              </w:rPr>
            </w:pPr>
            <w:r w:rsidRPr="00815FA1">
              <w:rPr>
                <w:rFonts w:eastAsia="Times New Roman"/>
                <w:b/>
                <w:bCs/>
                <w:color w:val="000000"/>
                <w:lang w:eastAsia="zh-CN"/>
              </w:rPr>
              <w:t>Recurrent</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104,993,487</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98%</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147,444,786</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97%</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134,587,012</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98%</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Wages</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60,827,794</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58%</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67,558,475</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46%</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65,880,427</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49%</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Non-Wages</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44,165,693</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42%</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79,886,311</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54%</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68,706,585</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51%</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A46D15">
            <w:pPr>
              <w:spacing w:before="0" w:after="0" w:line="240" w:lineRule="auto"/>
              <w:rPr>
                <w:rFonts w:eastAsia="Times New Roman"/>
                <w:b/>
                <w:bCs/>
                <w:color w:val="000000"/>
                <w:lang w:eastAsia="zh-CN"/>
              </w:rPr>
            </w:pPr>
            <w:r w:rsidRPr="00815FA1">
              <w:rPr>
                <w:rFonts w:eastAsia="Times New Roman"/>
                <w:b/>
                <w:bCs/>
                <w:color w:val="000000"/>
                <w:lang w:eastAsia="zh-CN"/>
              </w:rPr>
              <w:t>Capital</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1,743,252</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2%</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4,030,386</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3%</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b/>
                <w:bCs/>
                <w:color w:val="000000"/>
                <w:lang w:eastAsia="zh-CN"/>
              </w:rPr>
            </w:pPr>
            <w:r w:rsidRPr="00815FA1">
              <w:rPr>
                <w:rFonts w:eastAsia="Times New Roman"/>
                <w:b/>
                <w:bCs/>
                <w:color w:val="000000"/>
                <w:lang w:eastAsia="zh-CN"/>
              </w:rPr>
              <w:t>2,819,194</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center"/>
              <w:rPr>
                <w:rFonts w:eastAsia="Times New Roman"/>
                <w:b/>
                <w:bCs/>
                <w:color w:val="000000"/>
                <w:lang w:eastAsia="zh-CN"/>
              </w:rPr>
            </w:pPr>
            <w:r w:rsidRPr="00815FA1">
              <w:rPr>
                <w:rFonts w:eastAsia="Times New Roman"/>
                <w:b/>
                <w:bCs/>
                <w:color w:val="000000"/>
                <w:lang w:eastAsia="zh-CN"/>
              </w:rPr>
              <w:t>2%</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Domestic</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926,753</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53%</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1,715,607</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43%</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1,583,734</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56%</w:t>
            </w:r>
          </w:p>
        </w:tc>
      </w:tr>
      <w:tr w:rsidR="00353ED4" w:rsidRPr="00815FA1">
        <w:trPr>
          <w:trHeight w:val="300"/>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Donor</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1,500,067</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37%</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1,189,075</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42%</w:t>
            </w:r>
          </w:p>
        </w:tc>
      </w:tr>
      <w:tr w:rsidR="00353ED4" w:rsidRPr="00815FA1">
        <w:trPr>
          <w:trHeight w:val="315"/>
        </w:trPr>
        <w:tc>
          <w:tcPr>
            <w:tcW w:w="1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Loans</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4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c>
          <w:tcPr>
            <w:tcW w:w="1200" w:type="dxa"/>
            <w:tcBorders>
              <w:top w:val="nil"/>
              <w:left w:val="nil"/>
              <w:bottom w:val="nil"/>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0%</w:t>
            </w:r>
          </w:p>
        </w:tc>
      </w:tr>
      <w:tr w:rsidR="00353ED4" w:rsidRPr="00815FA1">
        <w:trPr>
          <w:trHeight w:val="315"/>
        </w:trPr>
        <w:tc>
          <w:tcPr>
            <w:tcW w:w="1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00"/>
              <w:rPr>
                <w:rFonts w:eastAsia="Times New Roman"/>
                <w:color w:val="000000"/>
                <w:lang w:eastAsia="zh-CN"/>
              </w:rPr>
            </w:pPr>
            <w:r w:rsidRPr="00815FA1">
              <w:rPr>
                <w:rFonts w:eastAsia="Times New Roman"/>
                <w:color w:val="000000"/>
                <w:lang w:eastAsia="zh-CN"/>
              </w:rPr>
              <w:t>RDR</w:t>
            </w:r>
          </w:p>
        </w:tc>
        <w:tc>
          <w:tcPr>
            <w:tcW w:w="120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816,499</w:t>
            </w:r>
          </w:p>
        </w:tc>
        <w:tc>
          <w:tcPr>
            <w:tcW w:w="120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47%</w:t>
            </w:r>
          </w:p>
        </w:tc>
        <w:tc>
          <w:tcPr>
            <w:tcW w:w="120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814,713</w:t>
            </w:r>
          </w:p>
        </w:tc>
        <w:tc>
          <w:tcPr>
            <w:tcW w:w="120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20%</w:t>
            </w:r>
          </w:p>
        </w:tc>
        <w:tc>
          <w:tcPr>
            <w:tcW w:w="124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46,385</w:t>
            </w:r>
          </w:p>
        </w:tc>
        <w:tc>
          <w:tcPr>
            <w:tcW w:w="1200" w:type="dxa"/>
            <w:tcBorders>
              <w:top w:val="nil"/>
              <w:left w:val="nil"/>
              <w:bottom w:val="single" w:sz="8" w:space="0" w:color="auto"/>
              <w:right w:val="single" w:sz="8" w:space="0" w:color="auto"/>
            </w:tcBorders>
            <w:noWrap/>
            <w:vAlign w:val="bottom"/>
          </w:tcPr>
          <w:p w:rsidR="00353ED4" w:rsidRPr="00815FA1" w:rsidRDefault="00353ED4" w:rsidP="00A46D15">
            <w:pPr>
              <w:spacing w:before="0" w:after="0" w:line="240" w:lineRule="auto"/>
              <w:jc w:val="right"/>
              <w:rPr>
                <w:rFonts w:eastAsia="Times New Roman"/>
                <w:color w:val="000000"/>
                <w:lang w:eastAsia="zh-CN"/>
              </w:rPr>
            </w:pPr>
            <w:r w:rsidRPr="00815FA1">
              <w:rPr>
                <w:rFonts w:eastAsia="Times New Roman"/>
                <w:color w:val="000000"/>
                <w:lang w:eastAsia="zh-CN"/>
              </w:rPr>
              <w:t>2%</w:t>
            </w:r>
          </w:p>
        </w:tc>
      </w:tr>
    </w:tbl>
    <w:p w:rsidR="00353ED4" w:rsidRPr="00815FA1" w:rsidRDefault="00353ED4" w:rsidP="00FB5649">
      <w:pPr>
        <w:ind w:firstLine="708"/>
      </w:pPr>
      <w:r w:rsidRPr="00815FA1">
        <w:t>Source: SIAF</w:t>
      </w:r>
    </w:p>
    <w:p w:rsidR="00353ED4" w:rsidRPr="000747F6" w:rsidRDefault="00353ED4" w:rsidP="00060DA8">
      <w:pPr>
        <w:ind w:left="360"/>
        <w:jc w:val="both"/>
        <w:rPr>
          <w:sz w:val="22"/>
        </w:rPr>
      </w:pPr>
      <w:r w:rsidRPr="000747F6">
        <w:rPr>
          <w:sz w:val="22"/>
        </w:rPr>
        <w:t xml:space="preserve">The overall results indicate that, for this component of the program, execution is higher and it seems to be more correspondence among what was budgeted and what was executed. Deliveries imply around 42% of the total PSNM program, making it the most important single component. More specifically, as can be seen in </w:t>
      </w:r>
      <w:r>
        <w:rPr>
          <w:sz w:val="22"/>
        </w:rPr>
        <w:t>Table 40</w:t>
      </w:r>
      <w:r w:rsidRPr="000747F6">
        <w:rPr>
          <w:sz w:val="22"/>
        </w:rPr>
        <w:t>, the physical goals execution for the subcomponents related to maternal attention is high. The bolded subcomponents are the ones related to deliveries.</w:t>
      </w:r>
    </w:p>
    <w:p w:rsidR="00353ED4" w:rsidRPr="00815FA1" w:rsidRDefault="00353ED4" w:rsidP="009C1B52">
      <w:pPr>
        <w:pStyle w:val="Epgrafe"/>
        <w:jc w:val="center"/>
        <w:rPr>
          <w:color w:val="auto"/>
          <w:sz w:val="22"/>
        </w:rPr>
      </w:pPr>
      <w:bookmarkStart w:id="86" w:name="_Ref246862632"/>
      <w:r w:rsidRPr="00815FA1">
        <w:rPr>
          <w:color w:val="auto"/>
          <w:sz w:val="22"/>
        </w:rPr>
        <w:t xml:space="preserve">Table </w:t>
      </w:r>
      <w:bookmarkEnd w:id="86"/>
      <w:r w:rsidRPr="00815FA1">
        <w:rPr>
          <w:color w:val="auto"/>
          <w:sz w:val="22"/>
        </w:rPr>
        <w:fldChar w:fldCharType="begin"/>
      </w:r>
      <w:r w:rsidRPr="00815FA1">
        <w:rPr>
          <w:color w:val="auto"/>
          <w:sz w:val="22"/>
        </w:rPr>
        <w:instrText xml:space="preserve"> SEQ Chart \* ARABIC </w:instrText>
      </w:r>
      <w:r w:rsidRPr="00815FA1">
        <w:rPr>
          <w:color w:val="auto"/>
          <w:sz w:val="22"/>
        </w:rPr>
        <w:fldChar w:fldCharType="separate"/>
      </w:r>
      <w:r>
        <w:rPr>
          <w:noProof/>
          <w:color w:val="auto"/>
          <w:sz w:val="22"/>
        </w:rPr>
        <w:t>40</w:t>
      </w:r>
      <w:r w:rsidRPr="00815FA1">
        <w:rPr>
          <w:color w:val="auto"/>
          <w:sz w:val="22"/>
        </w:rPr>
        <w:fldChar w:fldCharType="end"/>
      </w:r>
      <w:r w:rsidRPr="00815FA1">
        <w:rPr>
          <w:color w:val="auto"/>
          <w:sz w:val="22"/>
        </w:rPr>
        <w:t>: Physical goals and execution for each specific goal and modified and executed budget, 2008</w:t>
      </w:r>
    </w:p>
    <w:tbl>
      <w:tblPr>
        <w:tblW w:w="8926" w:type="dxa"/>
        <w:tblInd w:w="-68" w:type="dxa"/>
        <w:tblCellMar>
          <w:left w:w="70" w:type="dxa"/>
          <w:right w:w="70" w:type="dxa"/>
        </w:tblCellMar>
        <w:tblLook w:val="00A0" w:firstRow="1" w:lastRow="0" w:firstColumn="1" w:lastColumn="0" w:noHBand="0" w:noVBand="0"/>
      </w:tblPr>
      <w:tblGrid>
        <w:gridCol w:w="3982"/>
        <w:gridCol w:w="1083"/>
        <w:gridCol w:w="1122"/>
        <w:gridCol w:w="1327"/>
        <w:gridCol w:w="1412"/>
      </w:tblGrid>
      <w:tr w:rsidR="00353ED4" w:rsidRPr="00815FA1" w:rsidTr="00B96029">
        <w:trPr>
          <w:trHeight w:val="195"/>
        </w:trPr>
        <w:tc>
          <w:tcPr>
            <w:tcW w:w="3982" w:type="dxa"/>
            <w:tcBorders>
              <w:top w:val="single" w:sz="4" w:space="0" w:color="000000"/>
              <w:left w:val="single" w:sz="4" w:space="0" w:color="000000"/>
              <w:bottom w:val="nil"/>
              <w:right w:val="nil"/>
            </w:tcBorders>
            <w:shd w:val="clear" w:color="auto" w:fill="31849B"/>
            <w:noWrap/>
            <w:vAlign w:val="center"/>
          </w:tcPr>
          <w:p w:rsidR="00353ED4" w:rsidRPr="00815FA1" w:rsidRDefault="00353ED4" w:rsidP="00180B26">
            <w:pPr>
              <w:spacing w:after="0" w:line="240" w:lineRule="auto"/>
              <w:jc w:val="center"/>
              <w:rPr>
                <w:b/>
                <w:color w:val="000000"/>
              </w:rPr>
            </w:pPr>
            <w:r w:rsidRPr="00815FA1">
              <w:rPr>
                <w:b/>
              </w:rPr>
              <w:t>Goal of Reduction of Maternal Morbidity and Mortality</w:t>
            </w:r>
          </w:p>
        </w:tc>
        <w:tc>
          <w:tcPr>
            <w:tcW w:w="1083" w:type="dxa"/>
            <w:tcBorders>
              <w:top w:val="single" w:sz="4" w:space="0" w:color="000000"/>
              <w:left w:val="single" w:sz="4" w:space="0" w:color="000000"/>
              <w:bottom w:val="nil"/>
              <w:right w:val="nil"/>
            </w:tcBorders>
            <w:shd w:val="clear" w:color="auto" w:fill="31849B"/>
            <w:noWrap/>
            <w:vAlign w:val="center"/>
          </w:tcPr>
          <w:p w:rsidR="00353ED4" w:rsidRPr="00815FA1" w:rsidRDefault="00353ED4" w:rsidP="00180B26">
            <w:pPr>
              <w:spacing w:after="0" w:line="240" w:lineRule="auto"/>
              <w:jc w:val="center"/>
              <w:rPr>
                <w:b/>
                <w:color w:val="000000"/>
              </w:rPr>
            </w:pPr>
            <w:r>
              <w:rPr>
                <w:b/>
                <w:color w:val="000000"/>
              </w:rPr>
              <w:t>Physical goals</w:t>
            </w:r>
          </w:p>
        </w:tc>
        <w:tc>
          <w:tcPr>
            <w:tcW w:w="1122" w:type="dxa"/>
            <w:tcBorders>
              <w:top w:val="single" w:sz="4" w:space="0" w:color="000000"/>
              <w:left w:val="nil"/>
              <w:bottom w:val="nil"/>
              <w:right w:val="single" w:sz="4" w:space="0" w:color="auto"/>
            </w:tcBorders>
            <w:shd w:val="clear" w:color="auto" w:fill="31849B"/>
            <w:noWrap/>
            <w:vAlign w:val="center"/>
          </w:tcPr>
          <w:p w:rsidR="00353ED4" w:rsidRPr="00815FA1" w:rsidRDefault="00353ED4" w:rsidP="00180B26">
            <w:pPr>
              <w:spacing w:after="0" w:line="240" w:lineRule="auto"/>
              <w:jc w:val="center"/>
              <w:rPr>
                <w:b/>
                <w:color w:val="000000"/>
              </w:rPr>
            </w:pPr>
            <w:r>
              <w:rPr>
                <w:b/>
                <w:color w:val="000000"/>
              </w:rPr>
              <w:t xml:space="preserve">Executed goals </w:t>
            </w:r>
          </w:p>
        </w:tc>
        <w:tc>
          <w:tcPr>
            <w:tcW w:w="1327" w:type="dxa"/>
            <w:tcBorders>
              <w:top w:val="single" w:sz="4" w:space="0" w:color="auto"/>
              <w:left w:val="single" w:sz="4" w:space="0" w:color="auto"/>
              <w:bottom w:val="nil"/>
              <w:right w:val="nil"/>
            </w:tcBorders>
            <w:shd w:val="clear" w:color="auto" w:fill="31849B"/>
            <w:noWrap/>
            <w:vAlign w:val="center"/>
          </w:tcPr>
          <w:p w:rsidR="00353ED4" w:rsidRPr="00815FA1" w:rsidRDefault="00353ED4" w:rsidP="00180B26">
            <w:pPr>
              <w:spacing w:after="0" w:line="240" w:lineRule="auto"/>
              <w:jc w:val="center"/>
              <w:rPr>
                <w:b/>
                <w:color w:val="000000"/>
              </w:rPr>
            </w:pPr>
            <w:r w:rsidRPr="00815FA1">
              <w:rPr>
                <w:b/>
                <w:color w:val="000000"/>
              </w:rPr>
              <w:t>2008</w:t>
            </w:r>
            <w:r>
              <w:rPr>
                <w:b/>
                <w:color w:val="000000"/>
              </w:rPr>
              <w:t xml:space="preserve"> </w:t>
            </w:r>
            <w:r w:rsidRPr="00815FA1">
              <w:rPr>
                <w:b/>
                <w:color w:val="000000"/>
              </w:rPr>
              <w:t>Modified Budget</w:t>
            </w:r>
          </w:p>
        </w:tc>
        <w:tc>
          <w:tcPr>
            <w:tcW w:w="1412" w:type="dxa"/>
            <w:tcBorders>
              <w:top w:val="single" w:sz="4" w:space="0" w:color="auto"/>
              <w:left w:val="nil"/>
              <w:bottom w:val="nil"/>
              <w:right w:val="single" w:sz="4" w:space="0" w:color="auto"/>
            </w:tcBorders>
            <w:shd w:val="clear" w:color="auto" w:fill="31849B"/>
            <w:noWrap/>
            <w:vAlign w:val="center"/>
          </w:tcPr>
          <w:p w:rsidR="00353ED4" w:rsidRPr="00815FA1" w:rsidRDefault="00353ED4" w:rsidP="00180B26">
            <w:pPr>
              <w:spacing w:after="0" w:line="240" w:lineRule="auto"/>
              <w:jc w:val="center"/>
              <w:rPr>
                <w:b/>
                <w:color w:val="000000"/>
              </w:rPr>
            </w:pPr>
            <w:r w:rsidRPr="00815FA1">
              <w:rPr>
                <w:b/>
                <w:color w:val="000000"/>
              </w:rPr>
              <w:t xml:space="preserve">2008 </w:t>
            </w:r>
            <w:r>
              <w:rPr>
                <w:b/>
                <w:color w:val="000000"/>
              </w:rPr>
              <w:t xml:space="preserve">  </w:t>
            </w:r>
            <w:r w:rsidRPr="00815FA1">
              <w:rPr>
                <w:b/>
                <w:color w:val="000000"/>
              </w:rPr>
              <w:t>Executed Budget</w:t>
            </w:r>
          </w:p>
        </w:tc>
      </w:tr>
      <w:tr w:rsidR="00353ED4" w:rsidRPr="00815FA1" w:rsidTr="00B96029">
        <w:trPr>
          <w:trHeight w:val="195"/>
        </w:trPr>
        <w:tc>
          <w:tcPr>
            <w:tcW w:w="3982" w:type="dxa"/>
            <w:tcBorders>
              <w:top w:val="single" w:sz="4" w:space="0" w:color="000000"/>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Refocused Prenatal Attention</w:t>
            </w:r>
          </w:p>
        </w:tc>
        <w:tc>
          <w:tcPr>
            <w:tcW w:w="1083" w:type="dxa"/>
            <w:tcBorders>
              <w:top w:val="single" w:sz="4" w:space="0" w:color="000000"/>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3,285,148</w:t>
            </w:r>
          </w:p>
        </w:tc>
        <w:tc>
          <w:tcPr>
            <w:tcW w:w="1122" w:type="dxa"/>
            <w:tcBorders>
              <w:top w:val="single" w:sz="4" w:space="0" w:color="000000"/>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1,554,877</w:t>
            </w:r>
          </w:p>
        </w:tc>
        <w:tc>
          <w:tcPr>
            <w:tcW w:w="1327" w:type="dxa"/>
            <w:tcBorders>
              <w:top w:val="single" w:sz="4" w:space="0" w:color="000000"/>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44,962,894</w:t>
            </w:r>
          </w:p>
        </w:tc>
        <w:tc>
          <w:tcPr>
            <w:tcW w:w="1412" w:type="dxa"/>
            <w:tcBorders>
              <w:top w:val="single" w:sz="4" w:space="0" w:color="000000"/>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40,775,956</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Attention of Pregnant women with Complications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677,870</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641,090</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38,489,127</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35,844,032</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33295 Normal Delivery Attention</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525,753</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545,925</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73,696,668</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67,432,891</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Non Chirurgical Attention of Delivery with Complications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76,734</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72,870</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25,085,917</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23,508,800</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Chirurgical Attention of Delivery with Complications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112,138</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129,681</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b/>
                <w:color w:val="000000"/>
              </w:rPr>
            </w:pPr>
            <w:r w:rsidRPr="00815FA1">
              <w:rPr>
                <w:b/>
                <w:color w:val="000000"/>
              </w:rPr>
              <w:t>40,613,941</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b/>
                <w:color w:val="000000"/>
              </w:rPr>
            </w:pPr>
            <w:r w:rsidRPr="00815FA1">
              <w:rPr>
                <w:b/>
                <w:color w:val="000000"/>
              </w:rPr>
              <w:t>36,811,186</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Puerperium Attention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537,467</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628,998</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16,549,035</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14,633,494</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Puerperium Attention with Complications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39,924</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22,653</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6,590,445</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5,799,257</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Obstetric Attention in the Intensive Care Unit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7,386</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1,578</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5,357,690</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4,684,919</w:t>
            </w:r>
          </w:p>
        </w:tc>
      </w:tr>
      <w:tr w:rsidR="00353ED4" w:rsidRPr="00815FA1" w:rsidTr="00B96029">
        <w:trPr>
          <w:trHeight w:val="195"/>
        </w:trPr>
        <w:tc>
          <w:tcPr>
            <w:tcW w:w="3982" w:type="dxa"/>
            <w:tcBorders>
              <w:top w:val="nil"/>
              <w:left w:val="single" w:sz="4" w:space="0" w:color="000000"/>
              <w:bottom w:val="nil"/>
              <w:right w:val="nil"/>
            </w:tcBorders>
            <w:noWrap/>
            <w:vAlign w:val="bottom"/>
          </w:tcPr>
          <w:p w:rsidR="00353ED4" w:rsidRPr="00815FA1" w:rsidRDefault="00353ED4" w:rsidP="003B32A2">
            <w:pPr>
              <w:spacing w:before="120" w:after="120" w:line="240" w:lineRule="auto"/>
              <w:rPr>
                <w:b/>
                <w:color w:val="000000"/>
              </w:rPr>
            </w:pPr>
            <w:r w:rsidRPr="00815FA1">
              <w:t xml:space="preserve">Pre-Investment in the Implementation of the Type I and Type II Hemotherapy Centers Network </w:t>
            </w:r>
          </w:p>
        </w:tc>
        <w:tc>
          <w:tcPr>
            <w:tcW w:w="1083" w:type="dxa"/>
            <w:tcBorders>
              <w:top w:val="nil"/>
              <w:left w:val="single" w:sz="4" w:space="0" w:color="000000"/>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1,312</w:t>
            </w:r>
          </w:p>
        </w:tc>
        <w:tc>
          <w:tcPr>
            <w:tcW w:w="112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43</w:t>
            </w:r>
          </w:p>
        </w:tc>
        <w:tc>
          <w:tcPr>
            <w:tcW w:w="1327" w:type="dxa"/>
            <w:tcBorders>
              <w:top w:val="nil"/>
              <w:left w:val="single" w:sz="4" w:space="0" w:color="auto"/>
              <w:bottom w:val="nil"/>
              <w:right w:val="nil"/>
            </w:tcBorders>
            <w:noWrap/>
            <w:vAlign w:val="center"/>
          </w:tcPr>
          <w:p w:rsidR="00353ED4" w:rsidRPr="00815FA1" w:rsidRDefault="00353ED4" w:rsidP="00BB7B36">
            <w:pPr>
              <w:spacing w:after="0" w:line="240" w:lineRule="auto"/>
              <w:jc w:val="center"/>
              <w:rPr>
                <w:color w:val="000000"/>
              </w:rPr>
            </w:pPr>
            <w:r w:rsidRPr="00815FA1">
              <w:rPr>
                <w:color w:val="000000"/>
              </w:rPr>
              <w:t>1,386,645</w:t>
            </w:r>
          </w:p>
        </w:tc>
        <w:tc>
          <w:tcPr>
            <w:tcW w:w="1412" w:type="dxa"/>
            <w:tcBorders>
              <w:top w:val="nil"/>
              <w:left w:val="nil"/>
              <w:bottom w:val="nil"/>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1,341,363</w:t>
            </w:r>
          </w:p>
        </w:tc>
      </w:tr>
      <w:tr w:rsidR="00353ED4" w:rsidRPr="00815FA1" w:rsidTr="00B96029">
        <w:trPr>
          <w:trHeight w:val="195"/>
        </w:trPr>
        <w:tc>
          <w:tcPr>
            <w:tcW w:w="3982" w:type="dxa"/>
            <w:tcBorders>
              <w:top w:val="nil"/>
              <w:left w:val="single" w:sz="4" w:space="0" w:color="000000"/>
              <w:bottom w:val="single" w:sz="4" w:space="0" w:color="auto"/>
              <w:right w:val="nil"/>
            </w:tcBorders>
            <w:noWrap/>
            <w:vAlign w:val="bottom"/>
          </w:tcPr>
          <w:p w:rsidR="00353ED4" w:rsidRPr="00815FA1" w:rsidRDefault="00353ED4" w:rsidP="00BB7B36">
            <w:pPr>
              <w:spacing w:before="120" w:after="120" w:line="240" w:lineRule="auto"/>
              <w:rPr>
                <w:b/>
                <w:color w:val="000000"/>
              </w:rPr>
            </w:pPr>
            <w:r w:rsidRPr="00815FA1">
              <w:t>Access to the Institutional Reference Center</w:t>
            </w:r>
          </w:p>
        </w:tc>
        <w:tc>
          <w:tcPr>
            <w:tcW w:w="1083" w:type="dxa"/>
            <w:tcBorders>
              <w:top w:val="nil"/>
              <w:left w:val="single" w:sz="4" w:space="0" w:color="000000"/>
              <w:bottom w:val="single" w:sz="4" w:space="0" w:color="auto"/>
              <w:right w:val="nil"/>
            </w:tcBorders>
            <w:noWrap/>
            <w:vAlign w:val="center"/>
          </w:tcPr>
          <w:p w:rsidR="00353ED4" w:rsidRPr="00815FA1" w:rsidRDefault="00353ED4" w:rsidP="00BB7B36">
            <w:pPr>
              <w:spacing w:after="0" w:line="240" w:lineRule="auto"/>
              <w:jc w:val="center"/>
              <w:rPr>
                <w:color w:val="000000"/>
              </w:rPr>
            </w:pPr>
            <w:r w:rsidRPr="00815FA1">
              <w:rPr>
                <w:color w:val="000000"/>
              </w:rPr>
              <w:t>291,181</w:t>
            </w:r>
          </w:p>
        </w:tc>
        <w:tc>
          <w:tcPr>
            <w:tcW w:w="1122" w:type="dxa"/>
            <w:tcBorders>
              <w:top w:val="nil"/>
              <w:left w:val="nil"/>
              <w:bottom w:val="single" w:sz="4" w:space="0" w:color="auto"/>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127,561</w:t>
            </w:r>
          </w:p>
        </w:tc>
        <w:tc>
          <w:tcPr>
            <w:tcW w:w="1327" w:type="dxa"/>
            <w:tcBorders>
              <w:top w:val="nil"/>
              <w:left w:val="single" w:sz="4" w:space="0" w:color="auto"/>
              <w:bottom w:val="single" w:sz="4" w:space="0" w:color="auto"/>
              <w:right w:val="nil"/>
            </w:tcBorders>
            <w:noWrap/>
            <w:vAlign w:val="center"/>
          </w:tcPr>
          <w:p w:rsidR="00353ED4" w:rsidRPr="00815FA1" w:rsidRDefault="00353ED4" w:rsidP="00BB7B36">
            <w:pPr>
              <w:spacing w:after="0" w:line="240" w:lineRule="auto"/>
              <w:jc w:val="center"/>
              <w:rPr>
                <w:color w:val="000000"/>
              </w:rPr>
            </w:pPr>
            <w:r w:rsidRPr="00815FA1">
              <w:rPr>
                <w:color w:val="000000"/>
              </w:rPr>
              <w:t>10,052,610</w:t>
            </w:r>
          </w:p>
        </w:tc>
        <w:tc>
          <w:tcPr>
            <w:tcW w:w="1412" w:type="dxa"/>
            <w:tcBorders>
              <w:top w:val="nil"/>
              <w:left w:val="nil"/>
              <w:bottom w:val="single" w:sz="4" w:space="0" w:color="auto"/>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8,729,009</w:t>
            </w:r>
          </w:p>
        </w:tc>
      </w:tr>
      <w:tr w:rsidR="00353ED4" w:rsidRPr="00815FA1" w:rsidTr="00B96029">
        <w:trPr>
          <w:trHeight w:val="195"/>
        </w:trPr>
        <w:tc>
          <w:tcPr>
            <w:tcW w:w="3982" w:type="dxa"/>
            <w:tcBorders>
              <w:top w:val="single" w:sz="4" w:space="0" w:color="auto"/>
              <w:left w:val="single" w:sz="4" w:space="0" w:color="auto"/>
              <w:bottom w:val="single" w:sz="4" w:space="0" w:color="auto"/>
              <w:right w:val="nil"/>
            </w:tcBorders>
            <w:noWrap/>
            <w:vAlign w:val="bottom"/>
          </w:tcPr>
          <w:p w:rsidR="00353ED4" w:rsidRPr="00815FA1" w:rsidRDefault="00353ED4" w:rsidP="00BB7B36">
            <w:pPr>
              <w:spacing w:after="0" w:line="240" w:lineRule="auto"/>
              <w:rPr>
                <w:b/>
                <w:color w:val="000000"/>
              </w:rPr>
            </w:pPr>
            <w:r w:rsidRPr="00815FA1">
              <w:rPr>
                <w:b/>
                <w:color w:val="000000"/>
              </w:rPr>
              <w:t> Total</w:t>
            </w:r>
          </w:p>
        </w:tc>
        <w:tc>
          <w:tcPr>
            <w:tcW w:w="1083" w:type="dxa"/>
            <w:tcBorders>
              <w:top w:val="single" w:sz="4" w:space="0" w:color="auto"/>
              <w:left w:val="single" w:sz="4" w:space="0" w:color="000000"/>
              <w:bottom w:val="single" w:sz="4" w:space="0" w:color="auto"/>
              <w:right w:val="nil"/>
            </w:tcBorders>
            <w:noWrap/>
            <w:vAlign w:val="center"/>
          </w:tcPr>
          <w:p w:rsidR="00353ED4" w:rsidRPr="00815FA1" w:rsidRDefault="00353ED4" w:rsidP="00BB7B36">
            <w:pPr>
              <w:spacing w:after="0" w:line="240" w:lineRule="auto"/>
              <w:jc w:val="center"/>
              <w:rPr>
                <w:color w:val="000000"/>
              </w:rPr>
            </w:pPr>
            <w:r w:rsidRPr="00815FA1">
              <w:rPr>
                <w:color w:val="000000"/>
              </w:rPr>
              <w:t>5,554,913</w:t>
            </w:r>
          </w:p>
        </w:tc>
        <w:tc>
          <w:tcPr>
            <w:tcW w:w="1122" w:type="dxa"/>
            <w:tcBorders>
              <w:top w:val="single" w:sz="4" w:space="0" w:color="auto"/>
              <w:left w:val="nil"/>
              <w:bottom w:val="single" w:sz="4" w:space="0" w:color="auto"/>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3,725,275</w:t>
            </w:r>
          </w:p>
        </w:tc>
        <w:tc>
          <w:tcPr>
            <w:tcW w:w="1327" w:type="dxa"/>
            <w:tcBorders>
              <w:top w:val="single" w:sz="4" w:space="0" w:color="auto"/>
              <w:left w:val="single" w:sz="4" w:space="0" w:color="auto"/>
              <w:bottom w:val="single" w:sz="4" w:space="0" w:color="auto"/>
              <w:right w:val="nil"/>
            </w:tcBorders>
            <w:noWrap/>
            <w:vAlign w:val="center"/>
          </w:tcPr>
          <w:p w:rsidR="00353ED4" w:rsidRPr="00815FA1" w:rsidRDefault="00353ED4" w:rsidP="00BB7B36">
            <w:pPr>
              <w:spacing w:after="0" w:line="240" w:lineRule="auto"/>
              <w:jc w:val="center"/>
              <w:rPr>
                <w:color w:val="000000"/>
              </w:rPr>
            </w:pPr>
            <w:r w:rsidRPr="00815FA1">
              <w:rPr>
                <w:color w:val="000000"/>
              </w:rPr>
              <w:t>262,784,972</w:t>
            </w:r>
          </w:p>
        </w:tc>
        <w:tc>
          <w:tcPr>
            <w:tcW w:w="1412" w:type="dxa"/>
            <w:tcBorders>
              <w:top w:val="single" w:sz="4" w:space="0" w:color="auto"/>
              <w:left w:val="nil"/>
              <w:bottom w:val="single" w:sz="4" w:space="0" w:color="auto"/>
              <w:right w:val="single" w:sz="4" w:space="0" w:color="auto"/>
            </w:tcBorders>
            <w:noWrap/>
            <w:vAlign w:val="center"/>
          </w:tcPr>
          <w:p w:rsidR="00353ED4" w:rsidRPr="00815FA1" w:rsidRDefault="00353ED4" w:rsidP="00BB7B36">
            <w:pPr>
              <w:spacing w:after="0" w:line="240" w:lineRule="auto"/>
              <w:jc w:val="center"/>
              <w:rPr>
                <w:color w:val="000000"/>
              </w:rPr>
            </w:pPr>
            <w:r w:rsidRPr="00815FA1">
              <w:rPr>
                <w:color w:val="000000"/>
              </w:rPr>
              <w:t>239,560,909</w:t>
            </w:r>
          </w:p>
        </w:tc>
      </w:tr>
    </w:tbl>
    <w:p w:rsidR="00353ED4" w:rsidRPr="000747F6" w:rsidRDefault="00353ED4" w:rsidP="00FB5649">
      <w:pPr>
        <w:ind w:firstLine="708"/>
        <w:rPr>
          <w:sz w:val="22"/>
        </w:rPr>
      </w:pPr>
      <w:r w:rsidRPr="000747F6">
        <w:rPr>
          <w:sz w:val="22"/>
        </w:rPr>
        <w:t>Source: MEF</w:t>
      </w:r>
    </w:p>
    <w:p w:rsidR="00353ED4" w:rsidRPr="000747F6" w:rsidRDefault="00353ED4" w:rsidP="009C1B52">
      <w:pPr>
        <w:jc w:val="both"/>
        <w:rPr>
          <w:sz w:val="22"/>
        </w:rPr>
      </w:pPr>
      <w:r w:rsidRPr="000747F6">
        <w:rPr>
          <w:sz w:val="22"/>
        </w:rPr>
        <w:t xml:space="preserve">As can be seen in </w:t>
      </w:r>
      <w:r>
        <w:rPr>
          <w:sz w:val="22"/>
        </w:rPr>
        <w:t>Table 40</w:t>
      </w:r>
      <w:r w:rsidRPr="000747F6">
        <w:rPr>
          <w:sz w:val="22"/>
        </w:rPr>
        <w:t xml:space="preserve">, most physical goals related to deliveries are being fulfilled and surpass goals. For example, normal delivery attentions’ goal was 525,753 deliveries, while by the end of 2008, 545,925 deliveries were actually attended. The program seems to have problems related to other ends, such as the low execution of prenatal checkups.  </w:t>
      </w:r>
    </w:p>
    <w:p w:rsidR="00353ED4" w:rsidRPr="00815FA1" w:rsidRDefault="00353ED4" w:rsidP="008937E1">
      <w:pPr>
        <w:pStyle w:val="Ttulo2"/>
        <w:numPr>
          <w:ilvl w:val="0"/>
          <w:numId w:val="20"/>
        </w:numPr>
        <w:rPr>
          <w:rStyle w:val="apple-style-span"/>
        </w:rPr>
      </w:pPr>
      <w:bookmarkStart w:id="87" w:name="_Toc254270043"/>
      <w:r w:rsidRPr="00815FA1">
        <w:rPr>
          <w:rStyle w:val="apple-style-span"/>
        </w:rPr>
        <w:t>benefit incidence Analysis: PSMN Program</w:t>
      </w:r>
      <w:bookmarkEnd w:id="87"/>
    </w:p>
    <w:p w:rsidR="00353ED4" w:rsidRPr="00815FA1" w:rsidRDefault="00353ED4" w:rsidP="008937E1">
      <w:pPr>
        <w:rPr>
          <w:sz w:val="22"/>
          <w:szCs w:val="22"/>
        </w:rPr>
      </w:pPr>
      <w:bookmarkStart w:id="88" w:name="_Toc247676669"/>
      <w:bookmarkStart w:id="89" w:name="_Toc247678233"/>
      <w:r w:rsidRPr="00815FA1">
        <w:rPr>
          <w:sz w:val="22"/>
          <w:szCs w:val="22"/>
        </w:rPr>
        <w:t xml:space="preserve">We estimate the per user subsidy using two </w:t>
      </w:r>
      <w:r>
        <w:rPr>
          <w:sz w:val="22"/>
          <w:szCs w:val="22"/>
        </w:rPr>
        <w:t xml:space="preserve">different </w:t>
      </w:r>
      <w:r w:rsidRPr="00815FA1">
        <w:rPr>
          <w:sz w:val="22"/>
          <w:szCs w:val="22"/>
        </w:rPr>
        <w:t>procedures:</w:t>
      </w:r>
    </w:p>
    <w:p w:rsidR="00353ED4" w:rsidRPr="00815FA1" w:rsidRDefault="00353ED4" w:rsidP="008937E1">
      <w:pPr>
        <w:rPr>
          <w:sz w:val="22"/>
          <w:szCs w:val="22"/>
        </w:rPr>
      </w:pPr>
      <w:r>
        <w:rPr>
          <w:sz w:val="22"/>
          <w:szCs w:val="22"/>
        </w:rPr>
        <w:t>1. Using</w:t>
      </w:r>
      <w:r w:rsidRPr="00815FA1">
        <w:rPr>
          <w:sz w:val="22"/>
          <w:szCs w:val="22"/>
        </w:rPr>
        <w:t xml:space="preserve"> the </w:t>
      </w:r>
      <w:r>
        <w:rPr>
          <w:sz w:val="22"/>
          <w:szCs w:val="22"/>
        </w:rPr>
        <w:t xml:space="preserve">accomplishment of </w:t>
      </w:r>
      <w:r w:rsidRPr="00815FA1">
        <w:rPr>
          <w:sz w:val="22"/>
          <w:szCs w:val="22"/>
        </w:rPr>
        <w:t>physical goals and</w:t>
      </w:r>
      <w:r>
        <w:rPr>
          <w:sz w:val="22"/>
          <w:szCs w:val="22"/>
        </w:rPr>
        <w:t xml:space="preserve"> the</w:t>
      </w:r>
      <w:r w:rsidRPr="00815FA1">
        <w:rPr>
          <w:sz w:val="22"/>
          <w:szCs w:val="22"/>
        </w:rPr>
        <w:t xml:space="preserve"> execution of expenditure we obtain the number of deliveries conducted in the framework of the PSMN. With this information, we calculated the average user subsidy per intervention </w:t>
      </w:r>
      <w:r>
        <w:rPr>
          <w:sz w:val="22"/>
          <w:szCs w:val="22"/>
        </w:rPr>
        <w:t>for different kinds of interventions</w:t>
      </w:r>
      <w:r w:rsidRPr="00815FA1">
        <w:rPr>
          <w:sz w:val="22"/>
          <w:szCs w:val="22"/>
        </w:rPr>
        <w:t xml:space="preserve">. This information however, is not enough to classify subsidies by </w:t>
      </w:r>
      <w:r>
        <w:rPr>
          <w:sz w:val="22"/>
          <w:szCs w:val="22"/>
        </w:rPr>
        <w:t>expenditure</w:t>
      </w:r>
      <w:r w:rsidRPr="00815FA1">
        <w:rPr>
          <w:sz w:val="22"/>
          <w:szCs w:val="22"/>
        </w:rPr>
        <w:t xml:space="preserve"> quintiles</w:t>
      </w:r>
      <w:r>
        <w:rPr>
          <w:sz w:val="22"/>
          <w:szCs w:val="22"/>
        </w:rPr>
        <w:t xml:space="preserve"> or health facility</w:t>
      </w:r>
      <w:r w:rsidRPr="00815FA1">
        <w:rPr>
          <w:sz w:val="22"/>
          <w:szCs w:val="22"/>
        </w:rPr>
        <w:t>.</w:t>
      </w:r>
      <w:r>
        <w:rPr>
          <w:sz w:val="22"/>
          <w:szCs w:val="22"/>
        </w:rPr>
        <w:t xml:space="preserve"> </w:t>
      </w:r>
    </w:p>
    <w:p w:rsidR="00353ED4" w:rsidRDefault="00353ED4" w:rsidP="009C1B52">
      <w:pPr>
        <w:rPr>
          <w:sz w:val="22"/>
          <w:szCs w:val="22"/>
        </w:rPr>
      </w:pPr>
      <w:r w:rsidRPr="00815FA1">
        <w:rPr>
          <w:sz w:val="22"/>
          <w:szCs w:val="22"/>
        </w:rPr>
        <w:t>2. To calculate subsidies by income level, we use the ENAHO, in a similar way we used it for the per user health subsidy</w:t>
      </w:r>
      <w:r>
        <w:rPr>
          <w:sz w:val="22"/>
          <w:szCs w:val="22"/>
        </w:rPr>
        <w:t xml:space="preserve"> for the SIS</w:t>
      </w:r>
      <w:r w:rsidRPr="00815FA1">
        <w:rPr>
          <w:sz w:val="22"/>
          <w:szCs w:val="22"/>
        </w:rPr>
        <w:t>.</w:t>
      </w:r>
      <w:r>
        <w:rPr>
          <w:sz w:val="22"/>
          <w:szCs w:val="22"/>
        </w:rPr>
        <w:t xml:space="preserve"> As in the Benefit Incidence Analysis for the sector, using survey data to estimate per user subsidy can lead to inaccuracies if the individuals have little information on the costs of health and even more if their misestimating is related to their expenditure quintile. </w:t>
      </w:r>
    </w:p>
    <w:p w:rsidR="00353ED4" w:rsidRPr="00815FA1" w:rsidRDefault="00353ED4" w:rsidP="009C1B52">
      <w:pPr>
        <w:rPr>
          <w:sz w:val="22"/>
          <w:szCs w:val="22"/>
        </w:rPr>
      </w:pPr>
      <w:r w:rsidRPr="00815FA1">
        <w:rPr>
          <w:sz w:val="22"/>
          <w:szCs w:val="22"/>
        </w:rPr>
        <w:t xml:space="preserve"> </w:t>
      </w:r>
      <w:bookmarkStart w:id="90" w:name="_Ref247587686"/>
      <w:bookmarkEnd w:id="88"/>
      <w:bookmarkEnd w:id="89"/>
      <w:r>
        <w:rPr>
          <w:sz w:val="22"/>
          <w:szCs w:val="22"/>
        </w:rPr>
        <w:t>In Table 41</w:t>
      </w:r>
      <w:r w:rsidRPr="00815FA1">
        <w:rPr>
          <w:sz w:val="22"/>
          <w:szCs w:val="22"/>
        </w:rPr>
        <w:t xml:space="preserve"> we present the PMNS subsidy for 2008 by types of delivery intervention: normal and complicated deliveries, with and without chirurgical interventions.</w:t>
      </w:r>
    </w:p>
    <w:p w:rsidR="00353ED4" w:rsidRPr="00815FA1" w:rsidRDefault="00353ED4" w:rsidP="009C1B52">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41</w:t>
      </w:r>
      <w:r w:rsidRPr="00815FA1">
        <w:rPr>
          <w:b/>
          <w:sz w:val="22"/>
        </w:rPr>
        <w:fldChar w:fldCharType="end"/>
      </w:r>
      <w:bookmarkEnd w:id="90"/>
      <w:r w:rsidRPr="00815FA1">
        <w:rPr>
          <w:b/>
          <w:sz w:val="22"/>
        </w:rPr>
        <w:t>: Per user expenditure for Maternal Neonatal Health Program, by type of delivery intervention, 2008</w:t>
      </w:r>
    </w:p>
    <w:tbl>
      <w:tblPr>
        <w:tblW w:w="9126" w:type="dxa"/>
        <w:tblInd w:w="-68" w:type="dxa"/>
        <w:tblCellMar>
          <w:left w:w="70" w:type="dxa"/>
          <w:right w:w="70" w:type="dxa"/>
        </w:tblCellMar>
        <w:tblLook w:val="00A0" w:firstRow="1" w:lastRow="0" w:firstColumn="1" w:lastColumn="0" w:noHBand="0" w:noVBand="0"/>
      </w:tblPr>
      <w:tblGrid>
        <w:gridCol w:w="4259"/>
        <w:gridCol w:w="1677"/>
        <w:gridCol w:w="1825"/>
        <w:gridCol w:w="1365"/>
      </w:tblGrid>
      <w:tr w:rsidR="00353ED4" w:rsidRPr="00815FA1">
        <w:trPr>
          <w:trHeight w:val="600"/>
        </w:trPr>
        <w:tc>
          <w:tcPr>
            <w:tcW w:w="4259" w:type="dxa"/>
            <w:tcBorders>
              <w:top w:val="single" w:sz="8" w:space="0" w:color="auto"/>
              <w:left w:val="single" w:sz="8" w:space="0" w:color="auto"/>
              <w:bottom w:val="single" w:sz="8" w:space="0" w:color="auto"/>
              <w:right w:val="nil"/>
            </w:tcBorders>
            <w:shd w:val="clear" w:color="000000" w:fill="8DB4E3"/>
            <w:noWrap/>
            <w:vAlign w:val="bottom"/>
          </w:tcPr>
          <w:p w:rsidR="00353ED4" w:rsidRPr="00815FA1" w:rsidRDefault="00353ED4" w:rsidP="00EC516F">
            <w:pPr>
              <w:spacing w:before="0" w:after="0" w:line="240" w:lineRule="auto"/>
              <w:rPr>
                <w:sz w:val="22"/>
                <w:szCs w:val="22"/>
              </w:rPr>
            </w:pPr>
            <w:r w:rsidRPr="00815FA1">
              <w:rPr>
                <w:sz w:val="22"/>
                <w:szCs w:val="22"/>
              </w:rPr>
              <w:t> </w:t>
            </w:r>
          </w:p>
        </w:tc>
        <w:tc>
          <w:tcPr>
            <w:tcW w:w="1677" w:type="dxa"/>
            <w:tcBorders>
              <w:top w:val="single" w:sz="8" w:space="0" w:color="auto"/>
              <w:left w:val="single" w:sz="8" w:space="0" w:color="auto"/>
              <w:bottom w:val="single" w:sz="8" w:space="0" w:color="auto"/>
              <w:right w:val="single" w:sz="8" w:space="0" w:color="auto"/>
            </w:tcBorders>
            <w:shd w:val="clear" w:color="000000" w:fill="8DB4E3"/>
            <w:noWrap/>
            <w:vAlign w:val="center"/>
          </w:tcPr>
          <w:p w:rsidR="00353ED4" w:rsidRPr="00815FA1" w:rsidRDefault="00353ED4" w:rsidP="00EC516F">
            <w:pPr>
              <w:spacing w:before="0" w:after="0" w:line="240" w:lineRule="auto"/>
              <w:jc w:val="center"/>
              <w:rPr>
                <w:b/>
                <w:sz w:val="22"/>
                <w:szCs w:val="22"/>
              </w:rPr>
            </w:pPr>
            <w:r w:rsidRPr="00815FA1">
              <w:rPr>
                <w:b/>
                <w:sz w:val="22"/>
                <w:szCs w:val="22"/>
              </w:rPr>
              <w:t>Number of Attentions</w:t>
            </w:r>
          </w:p>
        </w:tc>
        <w:tc>
          <w:tcPr>
            <w:tcW w:w="1825" w:type="dxa"/>
            <w:tcBorders>
              <w:top w:val="single" w:sz="8" w:space="0" w:color="auto"/>
              <w:left w:val="nil"/>
              <w:bottom w:val="single" w:sz="8" w:space="0" w:color="auto"/>
              <w:right w:val="nil"/>
            </w:tcBorders>
            <w:shd w:val="clear" w:color="000000" w:fill="8DB4E3"/>
            <w:vAlign w:val="center"/>
          </w:tcPr>
          <w:p w:rsidR="00353ED4" w:rsidRPr="00815FA1" w:rsidRDefault="00353ED4" w:rsidP="00EC516F">
            <w:pPr>
              <w:spacing w:before="0" w:after="0" w:line="240" w:lineRule="auto"/>
              <w:jc w:val="center"/>
              <w:rPr>
                <w:b/>
                <w:sz w:val="22"/>
                <w:szCs w:val="22"/>
              </w:rPr>
            </w:pPr>
            <w:r w:rsidRPr="00815FA1">
              <w:rPr>
                <w:b/>
                <w:sz w:val="22"/>
                <w:szCs w:val="22"/>
              </w:rPr>
              <w:t>Executed Budget (Amount in nuevos soles)</w:t>
            </w:r>
          </w:p>
        </w:tc>
        <w:tc>
          <w:tcPr>
            <w:tcW w:w="1365" w:type="dxa"/>
            <w:tcBorders>
              <w:top w:val="single" w:sz="8" w:space="0" w:color="auto"/>
              <w:left w:val="single" w:sz="8" w:space="0" w:color="auto"/>
              <w:bottom w:val="single" w:sz="8" w:space="0" w:color="auto"/>
              <w:right w:val="single" w:sz="8" w:space="0" w:color="auto"/>
            </w:tcBorders>
            <w:shd w:val="clear" w:color="000000" w:fill="8DB4E3"/>
            <w:vAlign w:val="center"/>
          </w:tcPr>
          <w:p w:rsidR="00353ED4" w:rsidRPr="00815FA1" w:rsidRDefault="00353ED4" w:rsidP="00EC516F">
            <w:pPr>
              <w:spacing w:before="0" w:after="0" w:line="240" w:lineRule="auto"/>
              <w:jc w:val="center"/>
              <w:rPr>
                <w:b/>
                <w:sz w:val="22"/>
                <w:szCs w:val="22"/>
              </w:rPr>
            </w:pPr>
            <w:r w:rsidRPr="00815FA1">
              <w:rPr>
                <w:b/>
                <w:sz w:val="22"/>
                <w:szCs w:val="22"/>
              </w:rPr>
              <w:t>Per user expenditure (Amount in nuevos soles)</w:t>
            </w:r>
          </w:p>
        </w:tc>
      </w:tr>
      <w:tr w:rsidR="00353ED4" w:rsidRPr="00815FA1">
        <w:trPr>
          <w:trHeight w:val="366"/>
        </w:trPr>
        <w:tc>
          <w:tcPr>
            <w:tcW w:w="4259" w:type="dxa"/>
            <w:tcBorders>
              <w:top w:val="nil"/>
              <w:left w:val="single" w:sz="8" w:space="0" w:color="auto"/>
              <w:bottom w:val="nil"/>
              <w:right w:val="nil"/>
            </w:tcBorders>
            <w:noWrap/>
            <w:vAlign w:val="center"/>
          </w:tcPr>
          <w:p w:rsidR="00353ED4" w:rsidRPr="00815FA1" w:rsidRDefault="00353ED4" w:rsidP="00EC516F">
            <w:pPr>
              <w:spacing w:before="0" w:after="0" w:line="240" w:lineRule="auto"/>
              <w:rPr>
                <w:sz w:val="22"/>
                <w:szCs w:val="22"/>
              </w:rPr>
            </w:pPr>
            <w:r w:rsidRPr="00815FA1">
              <w:rPr>
                <w:sz w:val="22"/>
                <w:szCs w:val="22"/>
              </w:rPr>
              <w:t>Normal Delivery Attentions</w:t>
            </w:r>
          </w:p>
        </w:tc>
        <w:tc>
          <w:tcPr>
            <w:tcW w:w="1677" w:type="dxa"/>
            <w:tcBorders>
              <w:top w:val="nil"/>
              <w:left w:val="single" w:sz="8" w:space="0" w:color="auto"/>
              <w:bottom w:val="nil"/>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545,925</w:t>
            </w:r>
          </w:p>
        </w:tc>
        <w:tc>
          <w:tcPr>
            <w:tcW w:w="1825" w:type="dxa"/>
            <w:tcBorders>
              <w:top w:val="nil"/>
              <w:left w:val="nil"/>
              <w:bottom w:val="nil"/>
              <w:right w:val="nil"/>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67,432,891</w:t>
            </w:r>
          </w:p>
        </w:tc>
        <w:tc>
          <w:tcPr>
            <w:tcW w:w="1365" w:type="dxa"/>
            <w:tcBorders>
              <w:top w:val="nil"/>
              <w:left w:val="single" w:sz="8" w:space="0" w:color="auto"/>
              <w:bottom w:val="nil"/>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123.52</w:t>
            </w:r>
          </w:p>
        </w:tc>
      </w:tr>
      <w:tr w:rsidR="00353ED4" w:rsidRPr="00815FA1">
        <w:trPr>
          <w:trHeight w:val="366"/>
        </w:trPr>
        <w:tc>
          <w:tcPr>
            <w:tcW w:w="4259" w:type="dxa"/>
            <w:tcBorders>
              <w:top w:val="nil"/>
              <w:left w:val="single" w:sz="8" w:space="0" w:color="auto"/>
              <w:bottom w:val="nil"/>
              <w:right w:val="nil"/>
            </w:tcBorders>
            <w:noWrap/>
            <w:vAlign w:val="center"/>
          </w:tcPr>
          <w:p w:rsidR="00353ED4" w:rsidRPr="00815FA1" w:rsidRDefault="00353ED4" w:rsidP="00EC516F">
            <w:pPr>
              <w:spacing w:before="0" w:after="0" w:line="240" w:lineRule="auto"/>
              <w:rPr>
                <w:sz w:val="22"/>
                <w:szCs w:val="22"/>
              </w:rPr>
            </w:pPr>
            <w:r w:rsidRPr="00815FA1">
              <w:rPr>
                <w:sz w:val="22"/>
                <w:szCs w:val="22"/>
              </w:rPr>
              <w:t>Non Chirurgical Complicated Delivery Attentions</w:t>
            </w:r>
          </w:p>
        </w:tc>
        <w:tc>
          <w:tcPr>
            <w:tcW w:w="1677" w:type="dxa"/>
            <w:tcBorders>
              <w:top w:val="nil"/>
              <w:left w:val="single" w:sz="8" w:space="0" w:color="auto"/>
              <w:bottom w:val="nil"/>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72,870</w:t>
            </w:r>
          </w:p>
        </w:tc>
        <w:tc>
          <w:tcPr>
            <w:tcW w:w="1825" w:type="dxa"/>
            <w:tcBorders>
              <w:top w:val="nil"/>
              <w:left w:val="nil"/>
              <w:bottom w:val="nil"/>
              <w:right w:val="nil"/>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23,508,800</w:t>
            </w:r>
          </w:p>
        </w:tc>
        <w:tc>
          <w:tcPr>
            <w:tcW w:w="1365" w:type="dxa"/>
            <w:tcBorders>
              <w:top w:val="nil"/>
              <w:left w:val="single" w:sz="8" w:space="0" w:color="auto"/>
              <w:bottom w:val="nil"/>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322.61</w:t>
            </w:r>
          </w:p>
        </w:tc>
      </w:tr>
      <w:tr w:rsidR="00353ED4" w:rsidRPr="00815FA1">
        <w:trPr>
          <w:trHeight w:val="385"/>
        </w:trPr>
        <w:tc>
          <w:tcPr>
            <w:tcW w:w="4259" w:type="dxa"/>
            <w:tcBorders>
              <w:top w:val="nil"/>
              <w:left w:val="single" w:sz="8" w:space="0" w:color="auto"/>
              <w:bottom w:val="single" w:sz="8" w:space="0" w:color="auto"/>
              <w:right w:val="nil"/>
            </w:tcBorders>
            <w:noWrap/>
            <w:vAlign w:val="center"/>
          </w:tcPr>
          <w:p w:rsidR="00353ED4" w:rsidRPr="00815FA1" w:rsidRDefault="00353ED4" w:rsidP="00EC516F">
            <w:pPr>
              <w:spacing w:before="0" w:after="0" w:line="240" w:lineRule="auto"/>
              <w:rPr>
                <w:sz w:val="22"/>
                <w:szCs w:val="22"/>
              </w:rPr>
            </w:pPr>
            <w:r w:rsidRPr="00815FA1">
              <w:rPr>
                <w:sz w:val="22"/>
                <w:szCs w:val="22"/>
              </w:rPr>
              <w:t>Chirurgical Complicated Delivery Attentions</w:t>
            </w:r>
          </w:p>
        </w:tc>
        <w:tc>
          <w:tcPr>
            <w:tcW w:w="1677" w:type="dxa"/>
            <w:tcBorders>
              <w:top w:val="nil"/>
              <w:left w:val="single" w:sz="8" w:space="0" w:color="auto"/>
              <w:bottom w:val="single" w:sz="8" w:space="0" w:color="auto"/>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129,681</w:t>
            </w:r>
          </w:p>
        </w:tc>
        <w:tc>
          <w:tcPr>
            <w:tcW w:w="1825" w:type="dxa"/>
            <w:tcBorders>
              <w:top w:val="nil"/>
              <w:left w:val="nil"/>
              <w:bottom w:val="single" w:sz="8" w:space="0" w:color="auto"/>
              <w:right w:val="nil"/>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36,811,186</w:t>
            </w:r>
          </w:p>
        </w:tc>
        <w:tc>
          <w:tcPr>
            <w:tcW w:w="1365" w:type="dxa"/>
            <w:tcBorders>
              <w:top w:val="nil"/>
              <w:left w:val="single" w:sz="8" w:space="0" w:color="auto"/>
              <w:bottom w:val="single" w:sz="8" w:space="0" w:color="auto"/>
              <w:right w:val="single" w:sz="8" w:space="0" w:color="auto"/>
            </w:tcBorders>
            <w:noWrap/>
            <w:vAlign w:val="center"/>
          </w:tcPr>
          <w:p w:rsidR="00353ED4" w:rsidRPr="00815FA1" w:rsidRDefault="00353ED4" w:rsidP="00EC516F">
            <w:pPr>
              <w:spacing w:before="0" w:after="0" w:line="240" w:lineRule="auto"/>
              <w:jc w:val="center"/>
              <w:rPr>
                <w:sz w:val="22"/>
                <w:szCs w:val="22"/>
              </w:rPr>
            </w:pPr>
            <w:r w:rsidRPr="00815FA1">
              <w:rPr>
                <w:sz w:val="22"/>
                <w:szCs w:val="22"/>
              </w:rPr>
              <w:t>283.86</w:t>
            </w:r>
          </w:p>
        </w:tc>
      </w:tr>
      <w:tr w:rsidR="00353ED4" w:rsidRPr="00815FA1">
        <w:trPr>
          <w:trHeight w:val="385"/>
        </w:trPr>
        <w:tc>
          <w:tcPr>
            <w:tcW w:w="4259" w:type="dxa"/>
            <w:tcBorders>
              <w:top w:val="nil"/>
              <w:left w:val="single" w:sz="8" w:space="0" w:color="auto"/>
              <w:bottom w:val="single" w:sz="8" w:space="0" w:color="auto"/>
              <w:right w:val="nil"/>
            </w:tcBorders>
            <w:noWrap/>
            <w:vAlign w:val="bottom"/>
          </w:tcPr>
          <w:p w:rsidR="00353ED4" w:rsidRPr="00815FA1" w:rsidRDefault="00353ED4" w:rsidP="00EC516F">
            <w:pPr>
              <w:spacing w:before="0" w:after="0" w:line="240" w:lineRule="auto"/>
              <w:jc w:val="center"/>
              <w:rPr>
                <w:b/>
                <w:sz w:val="22"/>
                <w:szCs w:val="22"/>
              </w:rPr>
            </w:pPr>
            <w:r w:rsidRPr="00815FA1">
              <w:rPr>
                <w:b/>
                <w:sz w:val="22"/>
                <w:szCs w:val="22"/>
              </w:rPr>
              <w:t>TOTAL for all types of Deliveries</w:t>
            </w:r>
          </w:p>
        </w:tc>
        <w:tc>
          <w:tcPr>
            <w:tcW w:w="1677" w:type="dxa"/>
            <w:tcBorders>
              <w:top w:val="nil"/>
              <w:left w:val="single" w:sz="8" w:space="0" w:color="auto"/>
              <w:bottom w:val="single" w:sz="8" w:space="0" w:color="auto"/>
              <w:right w:val="single" w:sz="8" w:space="0" w:color="auto"/>
            </w:tcBorders>
            <w:noWrap/>
            <w:vAlign w:val="bottom"/>
          </w:tcPr>
          <w:p w:rsidR="00353ED4" w:rsidRPr="00815FA1" w:rsidRDefault="00353ED4" w:rsidP="00EC516F">
            <w:pPr>
              <w:spacing w:before="0" w:after="0" w:line="240" w:lineRule="auto"/>
              <w:jc w:val="center"/>
              <w:rPr>
                <w:b/>
                <w:sz w:val="22"/>
                <w:szCs w:val="22"/>
              </w:rPr>
            </w:pPr>
            <w:r w:rsidRPr="00815FA1">
              <w:rPr>
                <w:b/>
                <w:sz w:val="22"/>
                <w:szCs w:val="22"/>
              </w:rPr>
              <w:t>748,476</w:t>
            </w:r>
          </w:p>
        </w:tc>
        <w:tc>
          <w:tcPr>
            <w:tcW w:w="1825"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jc w:val="center"/>
              <w:rPr>
                <w:b/>
                <w:sz w:val="22"/>
                <w:szCs w:val="22"/>
              </w:rPr>
            </w:pPr>
            <w:r w:rsidRPr="00815FA1">
              <w:rPr>
                <w:b/>
                <w:sz w:val="22"/>
                <w:szCs w:val="22"/>
              </w:rPr>
              <w:t>127,752,878</w:t>
            </w:r>
          </w:p>
        </w:tc>
        <w:tc>
          <w:tcPr>
            <w:tcW w:w="1365"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jc w:val="center"/>
              <w:rPr>
                <w:b/>
                <w:sz w:val="22"/>
                <w:szCs w:val="22"/>
              </w:rPr>
            </w:pPr>
            <w:r w:rsidRPr="00815FA1">
              <w:rPr>
                <w:b/>
                <w:sz w:val="22"/>
                <w:szCs w:val="22"/>
              </w:rPr>
              <w:t>170.68</w:t>
            </w:r>
          </w:p>
        </w:tc>
      </w:tr>
    </w:tbl>
    <w:p w:rsidR="00353ED4" w:rsidRPr="00815FA1" w:rsidRDefault="00353ED4" w:rsidP="008937E1">
      <w:pPr>
        <w:ind w:firstLine="708"/>
        <w:rPr>
          <w:sz w:val="22"/>
          <w:szCs w:val="22"/>
        </w:rPr>
      </w:pPr>
      <w:r w:rsidRPr="00815FA1">
        <w:rPr>
          <w:sz w:val="22"/>
          <w:szCs w:val="22"/>
        </w:rPr>
        <w:t>Source: MEF</w:t>
      </w:r>
    </w:p>
    <w:p w:rsidR="00353ED4" w:rsidRPr="00815FA1" w:rsidRDefault="00353ED4" w:rsidP="008937E1">
      <w:pPr>
        <w:rPr>
          <w:sz w:val="22"/>
          <w:szCs w:val="22"/>
        </w:rPr>
      </w:pPr>
      <w:r w:rsidRPr="00815FA1">
        <w:rPr>
          <w:sz w:val="22"/>
          <w:szCs w:val="22"/>
        </w:rPr>
        <w:t>On average, the program is subsidizing 170.68 nuevos soles per user (almost 60 dollars per user). In the</w:t>
      </w:r>
      <w:r>
        <w:rPr>
          <w:sz w:val="22"/>
          <w:szCs w:val="22"/>
        </w:rPr>
        <w:t xml:space="preserve"> case of complicated deliveries</w:t>
      </w:r>
      <w:r w:rsidRPr="00815FA1">
        <w:rPr>
          <w:sz w:val="22"/>
          <w:szCs w:val="22"/>
        </w:rPr>
        <w:t xml:space="preserve">, the non chirurgical complications deliveries get a subsidy of 322 nuevos soles (more than 100 dollars) while the chirurgical complications get 283 nuevos soles (almost 95 dollars). There seems to be an inconsistency in the subsidy policy. </w:t>
      </w:r>
    </w:p>
    <w:p w:rsidR="00353ED4" w:rsidRPr="00815FA1" w:rsidRDefault="00353ED4" w:rsidP="008937E1">
      <w:pPr>
        <w:rPr>
          <w:sz w:val="22"/>
          <w:szCs w:val="22"/>
        </w:rPr>
      </w:pPr>
      <w:r w:rsidRPr="00815FA1">
        <w:rPr>
          <w:sz w:val="22"/>
          <w:szCs w:val="22"/>
        </w:rPr>
        <w:t xml:space="preserve">According to PEAS/PRAES information, a normal delivery should cost around 80 nuevos soles, significantly less than the actual subsidy of 123 nuevos soles. However, when more services are included, deliveries can cost up to 250 nuevos soles. A cesarean section should cost 182 nuevos soles while a complicated delivery, including all services, should cost up to 420 nuevos soles. This useful information should be considered by MINSA in order to reorganize their deliveries subsidy. </w:t>
      </w:r>
    </w:p>
    <w:p w:rsidR="00353ED4" w:rsidRPr="00815FA1" w:rsidRDefault="00353ED4" w:rsidP="009C1B52">
      <w:pPr>
        <w:jc w:val="center"/>
        <w:rPr>
          <w:b/>
          <w:sz w:val="22"/>
        </w:rPr>
      </w:pPr>
      <w:r w:rsidRPr="00815FA1">
        <w:rPr>
          <w:b/>
          <w:sz w:val="22"/>
        </w:rPr>
        <w:t xml:space="preserve">Table </w:t>
      </w:r>
      <w:r w:rsidRPr="00815FA1">
        <w:rPr>
          <w:b/>
          <w:sz w:val="22"/>
        </w:rPr>
        <w:fldChar w:fldCharType="begin"/>
      </w:r>
      <w:r w:rsidRPr="00815FA1">
        <w:rPr>
          <w:b/>
          <w:sz w:val="22"/>
        </w:rPr>
        <w:instrText xml:space="preserve"> SEQ Chart \* ARABIC </w:instrText>
      </w:r>
      <w:r w:rsidRPr="00815FA1">
        <w:rPr>
          <w:b/>
          <w:sz w:val="22"/>
        </w:rPr>
        <w:fldChar w:fldCharType="separate"/>
      </w:r>
      <w:r>
        <w:rPr>
          <w:b/>
          <w:noProof/>
          <w:sz w:val="22"/>
        </w:rPr>
        <w:t>42</w:t>
      </w:r>
      <w:r w:rsidRPr="00815FA1">
        <w:rPr>
          <w:b/>
          <w:sz w:val="22"/>
        </w:rPr>
        <w:fldChar w:fldCharType="end"/>
      </w:r>
      <w:r w:rsidRPr="00815FA1">
        <w:rPr>
          <w:b/>
          <w:sz w:val="22"/>
        </w:rPr>
        <w:t xml:space="preserve">: Per user expenditure for deliveries by </w:t>
      </w:r>
      <w:r>
        <w:rPr>
          <w:b/>
          <w:sz w:val="22"/>
        </w:rPr>
        <w:t>expenditure</w:t>
      </w:r>
      <w:r w:rsidRPr="00815FA1">
        <w:rPr>
          <w:b/>
          <w:sz w:val="22"/>
        </w:rPr>
        <w:t xml:space="preserve"> quintile, 2008</w:t>
      </w:r>
    </w:p>
    <w:tbl>
      <w:tblPr>
        <w:tblW w:w="5886" w:type="dxa"/>
        <w:jc w:val="center"/>
        <w:tblCellMar>
          <w:left w:w="70" w:type="dxa"/>
          <w:right w:w="70" w:type="dxa"/>
        </w:tblCellMar>
        <w:tblLook w:val="00A0" w:firstRow="1" w:lastRow="0" w:firstColumn="1" w:lastColumn="0" w:noHBand="0" w:noVBand="0"/>
      </w:tblPr>
      <w:tblGrid>
        <w:gridCol w:w="2302"/>
        <w:gridCol w:w="1716"/>
        <w:gridCol w:w="1868"/>
      </w:tblGrid>
      <w:tr w:rsidR="00353ED4" w:rsidRPr="00815FA1">
        <w:trPr>
          <w:trHeight w:val="380"/>
          <w:jc w:val="center"/>
        </w:trPr>
        <w:tc>
          <w:tcPr>
            <w:tcW w:w="2302" w:type="dxa"/>
            <w:tcBorders>
              <w:top w:val="single" w:sz="8" w:space="0" w:color="auto"/>
              <w:left w:val="single" w:sz="8" w:space="0" w:color="auto"/>
              <w:bottom w:val="single" w:sz="8" w:space="0" w:color="auto"/>
              <w:right w:val="single" w:sz="8" w:space="0" w:color="auto"/>
            </w:tcBorders>
            <w:shd w:val="clear" w:color="000000" w:fill="8DB4E3"/>
            <w:noWrap/>
            <w:vAlign w:val="bottom"/>
          </w:tcPr>
          <w:p w:rsidR="00353ED4" w:rsidRPr="00815FA1" w:rsidRDefault="00353ED4" w:rsidP="00EC516F">
            <w:pPr>
              <w:spacing w:before="0" w:after="0" w:line="240" w:lineRule="auto"/>
              <w:rPr>
                <w:sz w:val="22"/>
                <w:szCs w:val="22"/>
              </w:rPr>
            </w:pPr>
            <w:r w:rsidRPr="00815FA1">
              <w:rPr>
                <w:sz w:val="22"/>
                <w:szCs w:val="22"/>
              </w:rPr>
              <w:t> </w:t>
            </w:r>
          </w:p>
        </w:tc>
        <w:tc>
          <w:tcPr>
            <w:tcW w:w="1716" w:type="dxa"/>
            <w:tcBorders>
              <w:top w:val="single" w:sz="8" w:space="0" w:color="auto"/>
              <w:left w:val="nil"/>
              <w:bottom w:val="single" w:sz="8" w:space="0" w:color="auto"/>
              <w:right w:val="single" w:sz="8" w:space="0" w:color="auto"/>
            </w:tcBorders>
            <w:shd w:val="clear" w:color="000000" w:fill="8DB4E3"/>
            <w:vAlign w:val="bottom"/>
          </w:tcPr>
          <w:p w:rsidR="00353ED4" w:rsidRPr="00815FA1" w:rsidRDefault="00353ED4" w:rsidP="00EC516F">
            <w:pPr>
              <w:spacing w:before="0" w:after="0" w:line="240" w:lineRule="auto"/>
              <w:jc w:val="center"/>
              <w:rPr>
                <w:b/>
                <w:sz w:val="22"/>
                <w:szCs w:val="22"/>
              </w:rPr>
            </w:pPr>
            <w:r w:rsidRPr="00815FA1">
              <w:rPr>
                <w:b/>
                <w:sz w:val="22"/>
                <w:szCs w:val="22"/>
              </w:rPr>
              <w:t>Per user expenditure (in nuevos soles)</w:t>
            </w:r>
          </w:p>
        </w:tc>
        <w:tc>
          <w:tcPr>
            <w:tcW w:w="1868" w:type="dxa"/>
            <w:tcBorders>
              <w:top w:val="single" w:sz="8" w:space="0" w:color="auto"/>
              <w:left w:val="nil"/>
              <w:bottom w:val="single" w:sz="8" w:space="0" w:color="auto"/>
              <w:right w:val="single" w:sz="8" w:space="0" w:color="auto"/>
            </w:tcBorders>
            <w:shd w:val="clear" w:color="000000" w:fill="8DB4E3"/>
            <w:vAlign w:val="bottom"/>
          </w:tcPr>
          <w:p w:rsidR="00353ED4" w:rsidRPr="00815FA1" w:rsidRDefault="00353ED4" w:rsidP="00EC516F">
            <w:pPr>
              <w:spacing w:before="0" w:after="0" w:line="240" w:lineRule="auto"/>
              <w:jc w:val="center"/>
              <w:rPr>
                <w:b/>
                <w:sz w:val="22"/>
                <w:szCs w:val="22"/>
              </w:rPr>
            </w:pPr>
            <w:r w:rsidRPr="00815FA1">
              <w:rPr>
                <w:b/>
                <w:sz w:val="22"/>
                <w:szCs w:val="22"/>
              </w:rPr>
              <w:t>Estimated attentions</w:t>
            </w:r>
          </w:p>
        </w:tc>
      </w:tr>
      <w:tr w:rsidR="00353ED4" w:rsidRPr="00815FA1">
        <w:trPr>
          <w:trHeight w:val="361"/>
          <w:jc w:val="center"/>
        </w:trPr>
        <w:tc>
          <w:tcPr>
            <w:tcW w:w="2302"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EC516F">
            <w:pPr>
              <w:spacing w:before="0" w:after="0" w:line="240" w:lineRule="auto"/>
              <w:rPr>
                <w:b/>
                <w:sz w:val="22"/>
                <w:szCs w:val="22"/>
              </w:rPr>
            </w:pPr>
            <w:r w:rsidRPr="00815FA1">
              <w:rPr>
                <w:b/>
                <w:sz w:val="22"/>
                <w:szCs w:val="22"/>
              </w:rPr>
              <w:t>SIS</w:t>
            </w:r>
          </w:p>
        </w:tc>
        <w:tc>
          <w:tcPr>
            <w:tcW w:w="1716" w:type="dxa"/>
            <w:tcBorders>
              <w:top w:val="nil"/>
              <w:left w:val="nil"/>
              <w:bottom w:val="nil"/>
              <w:right w:val="single" w:sz="8" w:space="0" w:color="auto"/>
            </w:tcBorders>
            <w:shd w:val="clear" w:color="000000" w:fill="DBE5F1"/>
            <w:noWrap/>
            <w:vAlign w:val="bottom"/>
          </w:tcPr>
          <w:p w:rsidR="00353ED4" w:rsidRPr="00815FA1" w:rsidRDefault="00353ED4" w:rsidP="00EC516F">
            <w:pPr>
              <w:spacing w:before="0" w:after="0" w:line="240" w:lineRule="auto"/>
              <w:jc w:val="center"/>
              <w:rPr>
                <w:b/>
                <w:sz w:val="22"/>
                <w:szCs w:val="22"/>
              </w:rPr>
            </w:pPr>
            <w:r w:rsidRPr="00815FA1">
              <w:rPr>
                <w:b/>
                <w:sz w:val="22"/>
                <w:szCs w:val="22"/>
              </w:rPr>
              <w:t>195</w:t>
            </w:r>
          </w:p>
        </w:tc>
        <w:tc>
          <w:tcPr>
            <w:tcW w:w="1868" w:type="dxa"/>
            <w:tcBorders>
              <w:top w:val="nil"/>
              <w:left w:val="nil"/>
              <w:bottom w:val="nil"/>
              <w:right w:val="single" w:sz="8" w:space="0" w:color="auto"/>
            </w:tcBorders>
            <w:shd w:val="clear" w:color="000000" w:fill="DBE5F1"/>
            <w:noWrap/>
            <w:vAlign w:val="bottom"/>
          </w:tcPr>
          <w:p w:rsidR="00353ED4" w:rsidRPr="00815FA1" w:rsidRDefault="00353ED4" w:rsidP="00EC516F">
            <w:pPr>
              <w:spacing w:before="0" w:after="0" w:line="240" w:lineRule="auto"/>
              <w:jc w:val="center"/>
              <w:rPr>
                <w:b/>
                <w:sz w:val="22"/>
                <w:szCs w:val="22"/>
              </w:rPr>
            </w:pPr>
            <w:r w:rsidRPr="00815FA1">
              <w:rPr>
                <w:b/>
                <w:sz w:val="22"/>
                <w:szCs w:val="22"/>
              </w:rPr>
              <w:t>181,758</w:t>
            </w:r>
          </w:p>
        </w:tc>
      </w:tr>
      <w:tr w:rsidR="00353ED4" w:rsidRPr="00815FA1">
        <w:trPr>
          <w:trHeight w:val="361"/>
          <w:jc w:val="center"/>
        </w:trPr>
        <w:tc>
          <w:tcPr>
            <w:tcW w:w="2302"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First Quintile</w:t>
            </w:r>
          </w:p>
        </w:tc>
        <w:tc>
          <w:tcPr>
            <w:tcW w:w="1716"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126</w:t>
            </w:r>
          </w:p>
        </w:tc>
        <w:tc>
          <w:tcPr>
            <w:tcW w:w="1868"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48,082</w:t>
            </w:r>
          </w:p>
        </w:tc>
      </w:tr>
      <w:tr w:rsidR="00353ED4" w:rsidRPr="00815FA1">
        <w:trPr>
          <w:trHeight w:val="361"/>
          <w:jc w:val="center"/>
        </w:trPr>
        <w:tc>
          <w:tcPr>
            <w:tcW w:w="2302"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Second Quintile</w:t>
            </w:r>
          </w:p>
        </w:tc>
        <w:tc>
          <w:tcPr>
            <w:tcW w:w="1716"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157</w:t>
            </w:r>
          </w:p>
        </w:tc>
        <w:tc>
          <w:tcPr>
            <w:tcW w:w="1868"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55,037</w:t>
            </w:r>
          </w:p>
        </w:tc>
      </w:tr>
      <w:tr w:rsidR="00353ED4" w:rsidRPr="00815FA1">
        <w:trPr>
          <w:trHeight w:val="361"/>
          <w:jc w:val="center"/>
        </w:trPr>
        <w:tc>
          <w:tcPr>
            <w:tcW w:w="2302"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Third Quintile</w:t>
            </w:r>
          </w:p>
        </w:tc>
        <w:tc>
          <w:tcPr>
            <w:tcW w:w="1716"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222</w:t>
            </w:r>
          </w:p>
        </w:tc>
        <w:tc>
          <w:tcPr>
            <w:tcW w:w="1868"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40,707</w:t>
            </w:r>
          </w:p>
        </w:tc>
      </w:tr>
      <w:tr w:rsidR="00353ED4" w:rsidRPr="00815FA1">
        <w:trPr>
          <w:trHeight w:val="361"/>
          <w:jc w:val="center"/>
        </w:trPr>
        <w:tc>
          <w:tcPr>
            <w:tcW w:w="2302" w:type="dxa"/>
            <w:tcBorders>
              <w:top w:val="nil"/>
              <w:left w:val="single" w:sz="8" w:space="0" w:color="auto"/>
              <w:bottom w:val="nil"/>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Fourth Quintile</w:t>
            </w:r>
          </w:p>
        </w:tc>
        <w:tc>
          <w:tcPr>
            <w:tcW w:w="1716"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246</w:t>
            </w:r>
          </w:p>
        </w:tc>
        <w:tc>
          <w:tcPr>
            <w:tcW w:w="1868" w:type="dxa"/>
            <w:tcBorders>
              <w:top w:val="nil"/>
              <w:left w:val="nil"/>
              <w:bottom w:val="nil"/>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30,905</w:t>
            </w:r>
          </w:p>
        </w:tc>
      </w:tr>
      <w:tr w:rsidR="00353ED4" w:rsidRPr="00815FA1">
        <w:trPr>
          <w:trHeight w:val="380"/>
          <w:jc w:val="center"/>
        </w:trPr>
        <w:tc>
          <w:tcPr>
            <w:tcW w:w="2302" w:type="dxa"/>
            <w:tcBorders>
              <w:top w:val="nil"/>
              <w:left w:val="single" w:sz="8" w:space="0" w:color="auto"/>
              <w:bottom w:val="single" w:sz="8" w:space="0" w:color="auto"/>
              <w:right w:val="single" w:sz="8" w:space="0" w:color="auto"/>
            </w:tcBorders>
            <w:noWrap/>
            <w:vAlign w:val="bottom"/>
          </w:tcPr>
          <w:p w:rsidR="00353ED4" w:rsidRPr="00815FA1" w:rsidRDefault="00353ED4" w:rsidP="00EC516F">
            <w:pPr>
              <w:spacing w:before="0" w:after="0" w:line="240" w:lineRule="auto"/>
              <w:rPr>
                <w:sz w:val="22"/>
                <w:szCs w:val="22"/>
              </w:rPr>
            </w:pPr>
            <w:r w:rsidRPr="00815FA1">
              <w:rPr>
                <w:sz w:val="22"/>
                <w:szCs w:val="22"/>
              </w:rPr>
              <w:t>Fifth Quintile</w:t>
            </w:r>
          </w:p>
        </w:tc>
        <w:tc>
          <w:tcPr>
            <w:tcW w:w="1716"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597</w:t>
            </w:r>
          </w:p>
        </w:tc>
        <w:tc>
          <w:tcPr>
            <w:tcW w:w="1868" w:type="dxa"/>
            <w:tcBorders>
              <w:top w:val="nil"/>
              <w:left w:val="nil"/>
              <w:bottom w:val="single" w:sz="8" w:space="0" w:color="auto"/>
              <w:right w:val="single" w:sz="8" w:space="0" w:color="auto"/>
            </w:tcBorders>
            <w:noWrap/>
            <w:vAlign w:val="bottom"/>
          </w:tcPr>
          <w:p w:rsidR="00353ED4" w:rsidRPr="00815FA1" w:rsidRDefault="00353ED4" w:rsidP="00EC516F">
            <w:pPr>
              <w:spacing w:before="0" w:after="0" w:line="240" w:lineRule="auto"/>
              <w:jc w:val="center"/>
              <w:rPr>
                <w:sz w:val="22"/>
                <w:szCs w:val="22"/>
              </w:rPr>
            </w:pPr>
            <w:r w:rsidRPr="00815FA1">
              <w:rPr>
                <w:sz w:val="22"/>
                <w:szCs w:val="22"/>
              </w:rPr>
              <w:t>7,027</w:t>
            </w:r>
          </w:p>
        </w:tc>
      </w:tr>
    </w:tbl>
    <w:p w:rsidR="00353ED4" w:rsidRPr="00815FA1" w:rsidRDefault="00353ED4" w:rsidP="008937E1">
      <w:pPr>
        <w:ind w:left="708" w:firstLine="708"/>
        <w:rPr>
          <w:sz w:val="22"/>
          <w:szCs w:val="22"/>
        </w:rPr>
      </w:pPr>
      <w:r w:rsidRPr="00815FA1">
        <w:rPr>
          <w:sz w:val="22"/>
          <w:szCs w:val="22"/>
        </w:rPr>
        <w:t>Source: ENAHO</w:t>
      </w:r>
    </w:p>
    <w:p w:rsidR="00353ED4" w:rsidRDefault="00353ED4" w:rsidP="009C1B52">
      <w:pPr>
        <w:rPr>
          <w:sz w:val="22"/>
          <w:szCs w:val="22"/>
        </w:rPr>
      </w:pPr>
      <w:r w:rsidRPr="00815FA1">
        <w:rPr>
          <w:sz w:val="22"/>
          <w:szCs w:val="22"/>
        </w:rPr>
        <w:t xml:space="preserve">Table </w:t>
      </w:r>
      <w:r>
        <w:rPr>
          <w:sz w:val="22"/>
          <w:szCs w:val="22"/>
        </w:rPr>
        <w:t>42</w:t>
      </w:r>
      <w:r w:rsidRPr="00815FA1">
        <w:rPr>
          <w:sz w:val="22"/>
          <w:szCs w:val="22"/>
        </w:rPr>
        <w:t xml:space="preserve"> shows </w:t>
      </w:r>
      <w:r>
        <w:rPr>
          <w:sz w:val="22"/>
          <w:szCs w:val="22"/>
        </w:rPr>
        <w:t xml:space="preserve">an </w:t>
      </w:r>
      <w:r w:rsidRPr="00815FA1">
        <w:rPr>
          <w:sz w:val="22"/>
          <w:szCs w:val="22"/>
        </w:rPr>
        <w:t xml:space="preserve">average expenditure calculated with ENAHO </w:t>
      </w:r>
      <w:r>
        <w:rPr>
          <w:sz w:val="22"/>
          <w:szCs w:val="22"/>
        </w:rPr>
        <w:t>of</w:t>
      </w:r>
      <w:r w:rsidRPr="00815FA1">
        <w:rPr>
          <w:sz w:val="22"/>
          <w:szCs w:val="22"/>
        </w:rPr>
        <w:t xml:space="preserve"> </w:t>
      </w:r>
      <w:r>
        <w:rPr>
          <w:sz w:val="22"/>
          <w:szCs w:val="22"/>
        </w:rPr>
        <w:t>195 nuevos soles. Table 42 also</w:t>
      </w:r>
      <w:r w:rsidRPr="00815FA1">
        <w:rPr>
          <w:sz w:val="22"/>
          <w:szCs w:val="22"/>
        </w:rPr>
        <w:t xml:space="preserve"> shows that the richest quintile’s subsidy is almost five times larger than the poorest quintile subsidy, maybe, again, because higher quintiles have access to more complex facilities and have access to better information. </w:t>
      </w:r>
      <w:r>
        <w:rPr>
          <w:sz w:val="22"/>
          <w:szCs w:val="22"/>
        </w:rPr>
        <w:t xml:space="preserve">Regrettably, deliveries` data cannot be disaggregated any further to determine the reasons for this difference en unitary subsidy. The ENAHO is not a specialized health survey so information on the types of delivery is unavailable. Possible causes for this difference is the utilization of different facilities, a bias in estimation of costs by users of different quintiles or a mayor incidence of treatment for complicated deliveries in higher complexity facilities, capable of following this procedures.   </w:t>
      </w:r>
    </w:p>
    <w:p w:rsidR="00353ED4" w:rsidRPr="00815FA1" w:rsidRDefault="00353ED4" w:rsidP="009C1B52">
      <w:pPr>
        <w:rPr>
          <w:sz w:val="22"/>
          <w:szCs w:val="22"/>
        </w:rPr>
      </w:pPr>
      <w:r>
        <w:rPr>
          <w:sz w:val="22"/>
          <w:szCs w:val="22"/>
        </w:rPr>
        <w:t>In fact, institutional deliveries</w:t>
      </w:r>
      <w:r w:rsidRPr="00815FA1">
        <w:rPr>
          <w:sz w:val="22"/>
          <w:szCs w:val="22"/>
        </w:rPr>
        <w:t xml:space="preserve"> by wealth quintile</w:t>
      </w:r>
      <w:r>
        <w:rPr>
          <w:sz w:val="22"/>
          <w:szCs w:val="22"/>
        </w:rPr>
        <w:t>s show significant d</w:t>
      </w:r>
      <w:r w:rsidRPr="00815FA1">
        <w:rPr>
          <w:sz w:val="22"/>
          <w:szCs w:val="22"/>
        </w:rPr>
        <w:t>ifferences between the richest and the poorest quintile</w:t>
      </w:r>
      <w:r>
        <w:rPr>
          <w:sz w:val="22"/>
          <w:szCs w:val="22"/>
        </w:rPr>
        <w:t>.</w:t>
      </w:r>
      <w:r w:rsidRPr="00815FA1">
        <w:rPr>
          <w:sz w:val="22"/>
          <w:szCs w:val="22"/>
        </w:rPr>
        <w:t xml:space="preserve"> While in the poorest quintile, 34% have an institutional delivery, 98% have it in the richest quintile. Analysis distinguishing area of residence for deliveries stated that almost half of the women living in urban zones give birth in MINSA’s hospitals and only 7% do it in their own homes. In rural areas, only 1 of every 5 women gives birth in MINSA’s hospitals and half of them do so in their own homes. Correspondingly, one out of every ten women in rural areas attends to health posts for their deliveries, three times more than women in urban areas. Moreover, for institutional deliveries, rural women are more likely to be attended by a nurse or a health specialist, rather than a doctor or an obstetrician. </w:t>
      </w:r>
    </w:p>
    <w:p w:rsidR="00353ED4" w:rsidRDefault="00353ED4">
      <w:pPr>
        <w:spacing w:before="0" w:after="0" w:line="240" w:lineRule="auto"/>
        <w:rPr>
          <w:sz w:val="22"/>
          <w:szCs w:val="22"/>
        </w:rPr>
      </w:pPr>
      <w:r>
        <w:rPr>
          <w:sz w:val="22"/>
          <w:szCs w:val="22"/>
        </w:rPr>
        <w:br w:type="page"/>
      </w:r>
    </w:p>
    <w:p w:rsidR="00353ED4" w:rsidRPr="003E199B" w:rsidRDefault="00353ED4" w:rsidP="003E199B">
      <w:pPr>
        <w:pStyle w:val="Ttulo1"/>
        <w:numPr>
          <w:ilvl w:val="0"/>
          <w:numId w:val="28"/>
        </w:numPr>
        <w:pBdr>
          <w:left w:val="single" w:sz="24" w:space="1" w:color="4F81BD"/>
        </w:pBdr>
        <w:ind w:left="426" w:hanging="426"/>
        <w:rPr>
          <w:rStyle w:val="apple-style-span"/>
        </w:rPr>
      </w:pPr>
      <w:bookmarkStart w:id="91" w:name="_Toc254270044"/>
      <w:r w:rsidRPr="003E199B">
        <w:rPr>
          <w:rStyle w:val="apple-style-span"/>
        </w:rPr>
        <w:t>Conclussions</w:t>
      </w:r>
      <w:bookmarkEnd w:id="91"/>
      <w:r w:rsidRPr="003E199B">
        <w:rPr>
          <w:rStyle w:val="apple-style-span"/>
        </w:rPr>
        <w:t xml:space="preserve"> </w:t>
      </w:r>
    </w:p>
    <w:p w:rsidR="00353ED4" w:rsidRPr="00AE10C3" w:rsidRDefault="00353ED4" w:rsidP="009C1B52">
      <w:pPr>
        <w:pStyle w:val="Prrafodelista"/>
        <w:numPr>
          <w:ilvl w:val="0"/>
          <w:numId w:val="35"/>
        </w:numPr>
        <w:tabs>
          <w:tab w:val="clear" w:pos="720"/>
          <w:tab w:val="num" w:pos="284"/>
        </w:tabs>
        <w:ind w:left="284" w:hanging="284"/>
        <w:jc w:val="both"/>
        <w:rPr>
          <w:rStyle w:val="apple-style-span"/>
          <w:sz w:val="22"/>
          <w:szCs w:val="22"/>
        </w:rPr>
      </w:pPr>
      <w:r w:rsidRPr="00AE10C3">
        <w:rPr>
          <w:sz w:val="22"/>
          <w:szCs w:val="22"/>
        </w:rPr>
        <w:t>The economic growth in the past decades (5% average in the last 15 years; BCR) allowed important advances in the Peruvian health sector. Not only overall health indicators have improved</w:t>
      </w:r>
      <w:r>
        <w:rPr>
          <w:sz w:val="22"/>
          <w:szCs w:val="22"/>
        </w:rPr>
        <w:t xml:space="preserve"> but there is</w:t>
      </w:r>
      <w:r w:rsidRPr="00AE10C3">
        <w:rPr>
          <w:sz w:val="22"/>
          <w:szCs w:val="22"/>
        </w:rPr>
        <w:t xml:space="preserve"> </w:t>
      </w:r>
      <w:r>
        <w:rPr>
          <w:sz w:val="22"/>
          <w:szCs w:val="22"/>
        </w:rPr>
        <w:t xml:space="preserve">also </w:t>
      </w:r>
      <w:r w:rsidRPr="00AE10C3">
        <w:rPr>
          <w:sz w:val="22"/>
          <w:szCs w:val="22"/>
        </w:rPr>
        <w:t xml:space="preserve">progress related to health services </w:t>
      </w:r>
      <w:r>
        <w:rPr>
          <w:sz w:val="22"/>
          <w:szCs w:val="22"/>
        </w:rPr>
        <w:t xml:space="preserve">and </w:t>
      </w:r>
      <w:r w:rsidRPr="00AE10C3">
        <w:rPr>
          <w:sz w:val="22"/>
          <w:szCs w:val="22"/>
        </w:rPr>
        <w:t>health insurance</w:t>
      </w:r>
      <w:r>
        <w:rPr>
          <w:sz w:val="22"/>
          <w:szCs w:val="22"/>
        </w:rPr>
        <w:t>.</w:t>
      </w:r>
      <w:r w:rsidRPr="00AE10C3">
        <w:rPr>
          <w:sz w:val="22"/>
          <w:szCs w:val="22"/>
        </w:rPr>
        <w:t xml:space="preserve"> </w:t>
      </w:r>
      <w:r w:rsidRPr="00AE10C3">
        <w:rPr>
          <w:rStyle w:val="apple-style-span"/>
          <w:sz w:val="22"/>
          <w:szCs w:val="22"/>
        </w:rPr>
        <w:t>However, two facts raise concerns about these improvements:</w:t>
      </w:r>
    </w:p>
    <w:p w:rsidR="00353ED4" w:rsidRPr="00AE10C3" w:rsidRDefault="00353ED4" w:rsidP="00D82964">
      <w:pPr>
        <w:pStyle w:val="Prrafodelista"/>
        <w:numPr>
          <w:ilvl w:val="0"/>
          <w:numId w:val="33"/>
        </w:numPr>
        <w:jc w:val="both"/>
        <w:rPr>
          <w:rStyle w:val="apple-style-span"/>
          <w:rFonts w:cs="Tahoma"/>
          <w:sz w:val="22"/>
          <w:szCs w:val="22"/>
        </w:rPr>
      </w:pPr>
      <w:r>
        <w:rPr>
          <w:rStyle w:val="apple-style-span"/>
          <w:sz w:val="22"/>
          <w:szCs w:val="22"/>
        </w:rPr>
        <w:t xml:space="preserve">Despite the advances since </w:t>
      </w:r>
      <w:r w:rsidRPr="00AE10C3">
        <w:rPr>
          <w:rStyle w:val="apple-style-span"/>
          <w:sz w:val="22"/>
          <w:szCs w:val="22"/>
        </w:rPr>
        <w:t xml:space="preserve">1985, there seems to be stagnation in some of the indicators, especially </w:t>
      </w:r>
      <w:r>
        <w:rPr>
          <w:rStyle w:val="apple-style-span"/>
          <w:sz w:val="22"/>
          <w:szCs w:val="22"/>
        </w:rPr>
        <w:t xml:space="preserve">in terms of </w:t>
      </w:r>
      <w:r w:rsidRPr="00AE10C3">
        <w:rPr>
          <w:rStyle w:val="apple-style-span"/>
          <w:sz w:val="22"/>
          <w:szCs w:val="22"/>
        </w:rPr>
        <w:t xml:space="preserve">health services usage:  </w:t>
      </w:r>
      <w:r w:rsidRPr="00AE10C3">
        <w:rPr>
          <w:rStyle w:val="apple-style-span"/>
          <w:rFonts w:cs="Tahoma"/>
          <w:sz w:val="22"/>
          <w:szCs w:val="22"/>
        </w:rPr>
        <w:t xml:space="preserve">In year 2008, of the 100% of population that considers the medical consult as necessarily, just the 31.7% managed to accomplish an institutional appointment. Even though this figure had clearly improved between 1985 and 2001, since 2001 the trend has been decreasing.  The 16% limited to a non-institutional consult and the rest (53%) didn’t make any consult at all. </w:t>
      </w:r>
    </w:p>
    <w:p w:rsidR="00353ED4" w:rsidRPr="00AE10C3" w:rsidRDefault="00353ED4" w:rsidP="00D82964">
      <w:pPr>
        <w:pStyle w:val="Prrafodelista"/>
        <w:numPr>
          <w:ilvl w:val="0"/>
          <w:numId w:val="33"/>
        </w:numPr>
        <w:jc w:val="both"/>
        <w:rPr>
          <w:rStyle w:val="apple-style-span"/>
          <w:sz w:val="22"/>
          <w:szCs w:val="22"/>
        </w:rPr>
      </w:pPr>
      <w:r w:rsidRPr="00AE10C3">
        <w:rPr>
          <w:rStyle w:val="apple-style-span"/>
          <w:sz w:val="22"/>
          <w:szCs w:val="22"/>
        </w:rPr>
        <w:t xml:space="preserve">National averages hide important differences among regions and socioeconomic sectors. One of the most important differences is among rural and urban population. For instance, </w:t>
      </w:r>
      <w:r>
        <w:rPr>
          <w:rStyle w:val="apple-style-span"/>
          <w:sz w:val="22"/>
          <w:szCs w:val="22"/>
        </w:rPr>
        <w:t xml:space="preserve">in </w:t>
      </w:r>
      <w:r w:rsidRPr="00AE10C3">
        <w:rPr>
          <w:rStyle w:val="apple-style-span"/>
          <w:sz w:val="22"/>
          <w:szCs w:val="22"/>
        </w:rPr>
        <w:t>institutional delivery rates</w:t>
      </w:r>
      <w:r>
        <w:rPr>
          <w:rStyle w:val="apple-style-span"/>
          <w:sz w:val="22"/>
          <w:szCs w:val="22"/>
        </w:rPr>
        <w:t xml:space="preserve">, </w:t>
      </w:r>
      <w:r w:rsidRPr="00AE10C3">
        <w:rPr>
          <w:rStyle w:val="apple-style-span"/>
          <w:sz w:val="22"/>
          <w:szCs w:val="22"/>
        </w:rPr>
        <w:t xml:space="preserve">while 93% of deliveries are institutional in urban areas, only 55% are institutional in rural areas. </w:t>
      </w:r>
    </w:p>
    <w:p w:rsidR="00353ED4"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 xml:space="preserve">The usage of health facilities varies greatly between expenditure quintiles. Individuals in richer quintiles are usually attended in higher complexity facilities and have generally better access than poorer individuals to medical consults. This is not only a supply problem. Table 5 shows that mistrust in doctors and usage of homemade remedies make people in the lower quintile less likely to demand an institutional consult.   </w:t>
      </w:r>
    </w:p>
    <w:p w:rsidR="00353ED4" w:rsidRDefault="00353ED4" w:rsidP="00D82964">
      <w:pPr>
        <w:pStyle w:val="Prrafodelista"/>
        <w:numPr>
          <w:ilvl w:val="0"/>
          <w:numId w:val="35"/>
        </w:numPr>
        <w:tabs>
          <w:tab w:val="clear" w:pos="720"/>
          <w:tab w:val="num" w:pos="284"/>
        </w:tabs>
        <w:ind w:left="284" w:hanging="284"/>
        <w:jc w:val="both"/>
        <w:rPr>
          <w:sz w:val="22"/>
          <w:szCs w:val="22"/>
        </w:rPr>
      </w:pPr>
      <w:r w:rsidRPr="00AE10C3">
        <w:rPr>
          <w:sz w:val="22"/>
          <w:szCs w:val="22"/>
        </w:rPr>
        <w:t>Peru still presents high indicators of heal</w:t>
      </w:r>
      <w:r>
        <w:rPr>
          <w:sz w:val="22"/>
          <w:szCs w:val="22"/>
        </w:rPr>
        <w:t>th deficiency in comparison to</w:t>
      </w:r>
      <w:r w:rsidRPr="00AE10C3">
        <w:rPr>
          <w:sz w:val="22"/>
          <w:szCs w:val="22"/>
        </w:rPr>
        <w:t xml:space="preserve"> other countries, in part due to the low</w:t>
      </w:r>
      <w:r>
        <w:rPr>
          <w:sz w:val="22"/>
          <w:szCs w:val="22"/>
        </w:rPr>
        <w:t xml:space="preserve"> budget assignation that the public </w:t>
      </w:r>
      <w:r w:rsidRPr="00AE10C3">
        <w:rPr>
          <w:sz w:val="22"/>
          <w:szCs w:val="22"/>
        </w:rPr>
        <w:t>health sector</w:t>
      </w:r>
      <w:r>
        <w:rPr>
          <w:sz w:val="22"/>
          <w:szCs w:val="22"/>
        </w:rPr>
        <w:t xml:space="preserve"> manages: </w:t>
      </w:r>
      <w:r w:rsidRPr="00AE10C3">
        <w:rPr>
          <w:sz w:val="22"/>
          <w:szCs w:val="22"/>
        </w:rPr>
        <w:t>4’264 millions of nuevos soles</w:t>
      </w:r>
      <w:r>
        <w:rPr>
          <w:sz w:val="22"/>
          <w:szCs w:val="22"/>
        </w:rPr>
        <w:t xml:space="preserve"> in 2008</w:t>
      </w:r>
      <w:r w:rsidRPr="00AE10C3">
        <w:rPr>
          <w:sz w:val="22"/>
          <w:szCs w:val="22"/>
        </w:rPr>
        <w:t>, 5% of the Total Budget (SIAF)</w:t>
      </w:r>
      <w:r>
        <w:rPr>
          <w:sz w:val="22"/>
          <w:szCs w:val="22"/>
        </w:rPr>
        <w:t xml:space="preserve"> and 1% of national GDP</w:t>
      </w:r>
      <w:r w:rsidRPr="00AE10C3">
        <w:rPr>
          <w:sz w:val="22"/>
          <w:szCs w:val="22"/>
        </w:rPr>
        <w:t>. This fact restricts the necessary advances in effective coverage and</w:t>
      </w:r>
      <w:r>
        <w:rPr>
          <w:sz w:val="22"/>
          <w:szCs w:val="22"/>
        </w:rPr>
        <w:t>,</w:t>
      </w:r>
      <w:r w:rsidRPr="00AE10C3">
        <w:rPr>
          <w:sz w:val="22"/>
          <w:szCs w:val="22"/>
        </w:rPr>
        <w:t xml:space="preserve"> even more, limits the advance in reducing the gap between rural and urban areas. </w:t>
      </w:r>
    </w:p>
    <w:p w:rsidR="00353ED4" w:rsidRPr="00224D03" w:rsidRDefault="00353ED4" w:rsidP="00D82964">
      <w:pPr>
        <w:pStyle w:val="Prrafodelista"/>
        <w:numPr>
          <w:ilvl w:val="0"/>
          <w:numId w:val="35"/>
        </w:numPr>
        <w:tabs>
          <w:tab w:val="clear" w:pos="720"/>
          <w:tab w:val="num" w:pos="284"/>
        </w:tabs>
        <w:ind w:left="284" w:hanging="284"/>
        <w:jc w:val="both"/>
        <w:rPr>
          <w:sz w:val="22"/>
          <w:szCs w:val="22"/>
        </w:rPr>
      </w:pPr>
      <w:r w:rsidRPr="00224D03">
        <w:rPr>
          <w:sz w:val="22"/>
          <w:szCs w:val="22"/>
        </w:rPr>
        <w:t>Even though health care requires government intervention in order to guar</w:t>
      </w:r>
      <w:r>
        <w:rPr>
          <w:sz w:val="22"/>
          <w:szCs w:val="22"/>
        </w:rPr>
        <w:t>antee the population well being</w:t>
      </w:r>
      <w:r w:rsidRPr="00224D03">
        <w:rPr>
          <w:sz w:val="22"/>
          <w:szCs w:val="22"/>
        </w:rPr>
        <w:t>, in Peru, household financing of the medical services occupies the firs</w:t>
      </w:r>
      <w:r>
        <w:rPr>
          <w:sz w:val="22"/>
          <w:szCs w:val="22"/>
        </w:rPr>
        <w:t>t position as financing source (37% in 2005</w:t>
      </w:r>
      <w:r w:rsidRPr="00224D03">
        <w:rPr>
          <w:sz w:val="22"/>
          <w:szCs w:val="22"/>
        </w:rPr>
        <w:t xml:space="preserve">). Households’ contribution is made, mainly, through pocket expenditure in a country where more than one third of the population is poor. This fact limits access to health services only to those who can afford it, while low income households have a higher risk of being excluded from access to these services. </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sidRPr="00AE10C3">
        <w:rPr>
          <w:sz w:val="22"/>
          <w:szCs w:val="22"/>
        </w:rPr>
        <w:t xml:space="preserve">MINSA’s health expenditure for the period 2006-2008 doesn’t present a positive trend in the expenditure growth rate; on the contrary, expenditure falls in 2008. The per capita expenditure </w:t>
      </w:r>
      <w:r>
        <w:rPr>
          <w:sz w:val="22"/>
          <w:szCs w:val="22"/>
        </w:rPr>
        <w:t>was</w:t>
      </w:r>
      <w:r w:rsidRPr="00AE10C3">
        <w:rPr>
          <w:sz w:val="22"/>
          <w:szCs w:val="22"/>
        </w:rPr>
        <w:t xml:space="preserve"> 50 dollars for 2008</w:t>
      </w:r>
      <w:r>
        <w:rPr>
          <w:sz w:val="22"/>
          <w:szCs w:val="22"/>
        </w:rPr>
        <w:t>.</w:t>
      </w:r>
      <w:r w:rsidRPr="00AE10C3">
        <w:rPr>
          <w:sz w:val="22"/>
          <w:szCs w:val="22"/>
        </w:rPr>
        <w:t xml:space="preserve"> </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Insufficient budget</w:t>
      </w:r>
      <w:r w:rsidRPr="00AE10C3">
        <w:rPr>
          <w:sz w:val="22"/>
          <w:szCs w:val="22"/>
        </w:rPr>
        <w:t xml:space="preserve"> is added to the inefficiencies that take place in the system</w:t>
      </w:r>
      <w:r>
        <w:rPr>
          <w:sz w:val="22"/>
          <w:szCs w:val="22"/>
        </w:rPr>
        <w:t>. S</w:t>
      </w:r>
      <w:r w:rsidRPr="00AE10C3">
        <w:rPr>
          <w:sz w:val="22"/>
          <w:szCs w:val="22"/>
        </w:rPr>
        <w:t>ome of the inefficiencies are:</w:t>
      </w:r>
    </w:p>
    <w:p w:rsidR="00353ED4" w:rsidRPr="00AE10C3" w:rsidRDefault="00353ED4" w:rsidP="00D82964">
      <w:pPr>
        <w:pStyle w:val="Prrafodelista"/>
        <w:numPr>
          <w:ilvl w:val="0"/>
          <w:numId w:val="34"/>
        </w:numPr>
        <w:jc w:val="both"/>
        <w:rPr>
          <w:rStyle w:val="apple-style-span"/>
          <w:sz w:val="22"/>
          <w:szCs w:val="22"/>
        </w:rPr>
      </w:pPr>
      <w:r w:rsidRPr="00AE10C3">
        <w:rPr>
          <w:rStyle w:val="apple-style-span"/>
          <w:sz w:val="22"/>
          <w:szCs w:val="22"/>
        </w:rPr>
        <w:t>The financing of the public sector has been historically established by the M</w:t>
      </w:r>
      <w:r>
        <w:rPr>
          <w:rStyle w:val="apple-style-span"/>
          <w:sz w:val="22"/>
          <w:szCs w:val="22"/>
        </w:rPr>
        <w:t>EF</w:t>
      </w:r>
      <w:r w:rsidRPr="00AE10C3">
        <w:rPr>
          <w:rStyle w:val="apple-style-span"/>
          <w:sz w:val="22"/>
          <w:szCs w:val="22"/>
        </w:rPr>
        <w:t>. This institution allocates the resources following historical trends, e</w:t>
      </w:r>
      <w:r>
        <w:rPr>
          <w:rStyle w:val="apple-style-span"/>
          <w:sz w:val="22"/>
          <w:szCs w:val="22"/>
        </w:rPr>
        <w:t xml:space="preserve">ven </w:t>
      </w:r>
      <w:r w:rsidRPr="00AE10C3">
        <w:rPr>
          <w:rStyle w:val="apple-style-span"/>
          <w:sz w:val="22"/>
          <w:szCs w:val="22"/>
        </w:rPr>
        <w:t>for the newly introduced programs of Performance Based Budget; there isn’t a correspondence between efficiency to execute the resources and assigned budget.</w:t>
      </w:r>
    </w:p>
    <w:p w:rsidR="00353ED4" w:rsidRPr="00AE10C3" w:rsidRDefault="00353ED4" w:rsidP="00555557">
      <w:pPr>
        <w:pStyle w:val="Prrafodelista"/>
        <w:numPr>
          <w:ilvl w:val="0"/>
          <w:numId w:val="34"/>
        </w:numPr>
        <w:jc w:val="both"/>
        <w:rPr>
          <w:rStyle w:val="apple-style-span"/>
          <w:sz w:val="22"/>
          <w:szCs w:val="22"/>
        </w:rPr>
      </w:pPr>
      <w:r w:rsidRPr="00AE10C3">
        <w:rPr>
          <w:rStyle w:val="apple-style-span"/>
          <w:sz w:val="22"/>
          <w:szCs w:val="22"/>
        </w:rPr>
        <w:t>The organizational structure is not well related with the budget structure. The planning ends up being adjusted to the budget logical, meaning, by executing units, and not the other way round. It also makes difficult to track the health expenditures in regional governments because the executing units are the Regional Government’s Head Office and the Regional Government’s Health Office, both of them assign budget to DIRESAs and hospitals. In the end, it could be that the resources don’t make it to the health establishments, or dilutes in the way.</w:t>
      </w:r>
    </w:p>
    <w:p w:rsidR="00353ED4" w:rsidRPr="00AE10C3" w:rsidRDefault="00353ED4" w:rsidP="00D82964">
      <w:pPr>
        <w:pStyle w:val="Prrafodelista"/>
        <w:numPr>
          <w:ilvl w:val="0"/>
          <w:numId w:val="34"/>
        </w:numPr>
        <w:jc w:val="both"/>
        <w:rPr>
          <w:rStyle w:val="apple-style-span"/>
          <w:sz w:val="22"/>
          <w:szCs w:val="22"/>
        </w:rPr>
      </w:pPr>
      <w:r w:rsidRPr="00AE10C3">
        <w:rPr>
          <w:rStyle w:val="apple-style-span"/>
          <w:sz w:val="22"/>
          <w:szCs w:val="22"/>
        </w:rPr>
        <w:t>Even though the human resource is one of the strategic resources for health assistance, its good performance relies on the available and right inputs (mainly medicine and medical inputs) and</w:t>
      </w:r>
      <w:r>
        <w:rPr>
          <w:rStyle w:val="apple-style-span"/>
          <w:sz w:val="22"/>
          <w:szCs w:val="22"/>
        </w:rPr>
        <w:t xml:space="preserve"> infrastructure. Given the union</w:t>
      </w:r>
      <w:r w:rsidRPr="00AE10C3">
        <w:rPr>
          <w:rStyle w:val="apple-style-span"/>
          <w:sz w:val="22"/>
          <w:szCs w:val="22"/>
        </w:rPr>
        <w:t xml:space="preserve"> movements and some inflexibility in the growth of public health expenditure, the human resource participation</w:t>
      </w:r>
      <w:r>
        <w:rPr>
          <w:rStyle w:val="apple-style-span"/>
          <w:sz w:val="22"/>
          <w:szCs w:val="22"/>
        </w:rPr>
        <w:t xml:space="preserve"> in </w:t>
      </w:r>
      <w:r w:rsidRPr="00AE10C3">
        <w:rPr>
          <w:rStyle w:val="apple-style-span"/>
          <w:sz w:val="22"/>
          <w:szCs w:val="22"/>
        </w:rPr>
        <w:t xml:space="preserve">the budget </w:t>
      </w:r>
      <w:r>
        <w:rPr>
          <w:rStyle w:val="apple-style-span"/>
          <w:sz w:val="22"/>
          <w:szCs w:val="22"/>
        </w:rPr>
        <w:t xml:space="preserve">is </w:t>
      </w:r>
      <w:r w:rsidRPr="00AE10C3">
        <w:rPr>
          <w:rStyle w:val="apple-style-span"/>
          <w:sz w:val="22"/>
          <w:szCs w:val="22"/>
        </w:rPr>
        <w:t>60% of the total health expenditure in the regions.</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sidRPr="00AE10C3">
        <w:rPr>
          <w:sz w:val="22"/>
          <w:szCs w:val="22"/>
        </w:rPr>
        <w:t>When differentiated by expenditure programs, most of the health expenditure concentrates in the Individual Health program (74.5% in 2008), which represents all attentions in hospitals, health centers and posts, both basic and specialized attentions. Although individual health is the main program, capital expenditure in this category is very low</w:t>
      </w:r>
      <w:r>
        <w:rPr>
          <w:sz w:val="22"/>
          <w:szCs w:val="22"/>
        </w:rPr>
        <w:t xml:space="preserve">. </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sidRPr="00AE10C3">
        <w:rPr>
          <w:sz w:val="22"/>
          <w:szCs w:val="22"/>
        </w:rPr>
        <w:t>The relative importance of Collective Health appears to be low</w:t>
      </w:r>
      <w:r>
        <w:rPr>
          <w:sz w:val="22"/>
          <w:szCs w:val="22"/>
        </w:rPr>
        <w:t xml:space="preserve"> </w:t>
      </w:r>
      <w:r w:rsidRPr="00AE10C3">
        <w:rPr>
          <w:sz w:val="22"/>
          <w:szCs w:val="22"/>
        </w:rPr>
        <w:t>(12% in 2008). Collective Health goals are preventing and controlling possible threats to public health, give advice and information to families, schools and communities to improve their members’ health. Given these goals, MINSA´s officers estimate an increase in collective health until reach 25% of the total public sector budget.</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sidRPr="00AE10C3">
        <w:rPr>
          <w:sz w:val="22"/>
          <w:szCs w:val="22"/>
        </w:rPr>
        <w:t xml:space="preserve">When reviewing budget by health facility, it results that hospitals execute, in general, more resources than any other type of facility; in second place, and not far away, come </w:t>
      </w:r>
      <w:r>
        <w:rPr>
          <w:sz w:val="22"/>
          <w:szCs w:val="22"/>
        </w:rPr>
        <w:t>h</w:t>
      </w:r>
      <w:r w:rsidRPr="00AE10C3">
        <w:rPr>
          <w:sz w:val="22"/>
          <w:szCs w:val="22"/>
        </w:rPr>
        <w:t xml:space="preserve">ealth centers, hospital of minor complexity and health posts.  According to ENAHO, 20% of people who attend MINSA establishments do it in hospitals (approximately 610 thousands of individuals). However, hospitals have more expensive costs of attention because of its higher administrative and infrastructure costs. Additionally, hospitals do attend more complex health problems, which are more expensive to cure.  </w:t>
      </w:r>
    </w:p>
    <w:p w:rsidR="00353ED4"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R</w:t>
      </w:r>
      <w:r w:rsidRPr="00AE10C3">
        <w:rPr>
          <w:sz w:val="22"/>
          <w:szCs w:val="22"/>
        </w:rPr>
        <w:t>egional government</w:t>
      </w:r>
      <w:r>
        <w:rPr>
          <w:sz w:val="22"/>
          <w:szCs w:val="22"/>
        </w:rPr>
        <w:t>s</w:t>
      </w:r>
      <w:r w:rsidRPr="00AE10C3">
        <w:rPr>
          <w:sz w:val="22"/>
          <w:szCs w:val="22"/>
        </w:rPr>
        <w:t xml:space="preserve"> are beginning to execute directly increasing proportions of resources from the Public Treasury</w:t>
      </w:r>
      <w:r>
        <w:rPr>
          <w:sz w:val="22"/>
          <w:szCs w:val="22"/>
        </w:rPr>
        <w:t xml:space="preserve">. </w:t>
      </w:r>
      <w:r w:rsidRPr="00AE10C3">
        <w:rPr>
          <w:sz w:val="22"/>
          <w:szCs w:val="22"/>
        </w:rPr>
        <w:t>This is an important result of decentralization</w:t>
      </w:r>
      <w:r>
        <w:rPr>
          <w:sz w:val="22"/>
          <w:szCs w:val="22"/>
        </w:rPr>
        <w:t xml:space="preserve"> that emphasizes </w:t>
      </w:r>
      <w:r w:rsidRPr="00AE10C3">
        <w:rPr>
          <w:sz w:val="22"/>
          <w:szCs w:val="22"/>
        </w:rPr>
        <w:t xml:space="preserve">the need </w:t>
      </w:r>
      <w:r>
        <w:rPr>
          <w:sz w:val="22"/>
          <w:szCs w:val="22"/>
        </w:rPr>
        <w:t xml:space="preserve">of a </w:t>
      </w:r>
      <w:r w:rsidRPr="00AE10C3">
        <w:rPr>
          <w:sz w:val="22"/>
          <w:szCs w:val="22"/>
        </w:rPr>
        <w:t>more coordinated r</w:t>
      </w:r>
      <w:r>
        <w:rPr>
          <w:sz w:val="22"/>
          <w:szCs w:val="22"/>
        </w:rPr>
        <w:t xml:space="preserve">elation </w:t>
      </w:r>
      <w:r w:rsidRPr="00AE10C3">
        <w:rPr>
          <w:sz w:val="22"/>
          <w:szCs w:val="22"/>
        </w:rPr>
        <w:t xml:space="preserve">between the MINSA and MEF. </w:t>
      </w:r>
    </w:p>
    <w:p w:rsidR="00353ED4" w:rsidRPr="00AE10C3" w:rsidRDefault="00353ED4" w:rsidP="001A1D14">
      <w:pPr>
        <w:pStyle w:val="Prrafodelista"/>
        <w:numPr>
          <w:ilvl w:val="0"/>
          <w:numId w:val="35"/>
        </w:numPr>
        <w:tabs>
          <w:tab w:val="clear" w:pos="720"/>
          <w:tab w:val="num" w:pos="284"/>
        </w:tabs>
        <w:ind w:left="284" w:hanging="284"/>
        <w:jc w:val="both"/>
        <w:rPr>
          <w:sz w:val="22"/>
          <w:szCs w:val="22"/>
        </w:rPr>
      </w:pPr>
      <w:r w:rsidRPr="00AE10C3">
        <w:rPr>
          <w:sz w:val="22"/>
          <w:szCs w:val="22"/>
        </w:rPr>
        <w:t>To have a better understanding on how the public expenditure is reaching Peruvian population, we calculated unitary subsidies. Total atten</w:t>
      </w:r>
      <w:r>
        <w:rPr>
          <w:sz w:val="22"/>
          <w:szCs w:val="22"/>
        </w:rPr>
        <w:t xml:space="preserve">tions </w:t>
      </w:r>
      <w:r w:rsidRPr="00AE10C3">
        <w:rPr>
          <w:sz w:val="22"/>
          <w:szCs w:val="22"/>
        </w:rPr>
        <w:t>(including hospital discharges) sum up more than 13 million</w:t>
      </w:r>
      <w:r>
        <w:rPr>
          <w:sz w:val="22"/>
          <w:szCs w:val="22"/>
        </w:rPr>
        <w:t xml:space="preserve">. </w:t>
      </w:r>
      <w:r w:rsidRPr="00AE10C3">
        <w:rPr>
          <w:sz w:val="22"/>
          <w:szCs w:val="22"/>
        </w:rPr>
        <w:t>The average subsidy is 323.3 Nuevos Soles (almost 110 dollars). While the subsidy for hospital attentions is 609.8 Nuevos Soles (almost 210 dollars), the health centers and posts subsidy is 226.7 Nuevos Soles (closer to 75 dollars) for attention.</w:t>
      </w:r>
    </w:p>
    <w:p w:rsidR="00353ED4"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 xml:space="preserve">The distribution of this subsidy depends on the number of attentions by expenditure quintile. While the richer quintiles have higher usage of the hospitals subsidy, the lower quintile has a much higher usage of the health posts and health centers. </w:t>
      </w:r>
    </w:p>
    <w:p w:rsidR="00353ED4" w:rsidRPr="001A1D14"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 xml:space="preserve">The same analysis was made for the SIS using users’ valuations of the subsidy as collected by the ENAHO.  While the SIS coverage is far greater in lower expenditure quintiles, the users from higher expenditure quintiles receive a much higher subsidy per user. </w:t>
      </w:r>
    </w:p>
    <w:p w:rsidR="00353ED4" w:rsidRPr="00AE10C3" w:rsidRDefault="00353ED4" w:rsidP="00D82964">
      <w:pPr>
        <w:pStyle w:val="Prrafodelista"/>
        <w:numPr>
          <w:ilvl w:val="0"/>
          <w:numId w:val="35"/>
        </w:numPr>
        <w:tabs>
          <w:tab w:val="clear" w:pos="720"/>
          <w:tab w:val="num" w:pos="284"/>
        </w:tabs>
        <w:ind w:left="284" w:hanging="284"/>
        <w:jc w:val="both"/>
        <w:rPr>
          <w:sz w:val="22"/>
          <w:szCs w:val="22"/>
        </w:rPr>
      </w:pPr>
      <w:r>
        <w:rPr>
          <w:sz w:val="22"/>
          <w:szCs w:val="22"/>
        </w:rPr>
        <w:t>W</w:t>
      </w:r>
      <w:r w:rsidRPr="00AE10C3">
        <w:rPr>
          <w:sz w:val="22"/>
          <w:szCs w:val="22"/>
        </w:rPr>
        <w:t>e analyz</w:t>
      </w:r>
      <w:r>
        <w:rPr>
          <w:sz w:val="22"/>
          <w:szCs w:val="22"/>
        </w:rPr>
        <w:t xml:space="preserve">e </w:t>
      </w:r>
      <w:r w:rsidRPr="00AE10C3">
        <w:rPr>
          <w:sz w:val="22"/>
          <w:szCs w:val="22"/>
        </w:rPr>
        <w:t xml:space="preserve">the </w:t>
      </w:r>
      <w:r>
        <w:rPr>
          <w:sz w:val="22"/>
          <w:szCs w:val="22"/>
        </w:rPr>
        <w:t>PSMN</w:t>
      </w:r>
      <w:r w:rsidRPr="00AE10C3">
        <w:rPr>
          <w:sz w:val="22"/>
          <w:szCs w:val="22"/>
        </w:rPr>
        <w:t>, one of the five budgetary programs created in the Performance Based Budget framework. Within the program, we are focusing on the institutional delivery budget</w:t>
      </w:r>
      <w:r>
        <w:rPr>
          <w:sz w:val="22"/>
          <w:szCs w:val="22"/>
        </w:rPr>
        <w:t xml:space="preserve"> and attentions</w:t>
      </w:r>
      <w:r w:rsidRPr="00AE10C3">
        <w:rPr>
          <w:sz w:val="22"/>
          <w:szCs w:val="22"/>
        </w:rPr>
        <w:t>.</w:t>
      </w:r>
      <w:r>
        <w:rPr>
          <w:sz w:val="22"/>
          <w:szCs w:val="22"/>
        </w:rPr>
        <w:t xml:space="preserve"> </w:t>
      </w:r>
    </w:p>
    <w:p w:rsidR="00353ED4" w:rsidRPr="00AE10C3" w:rsidRDefault="00353ED4" w:rsidP="00224D03">
      <w:pPr>
        <w:pStyle w:val="Prrafodelista"/>
        <w:numPr>
          <w:ilvl w:val="0"/>
          <w:numId w:val="35"/>
        </w:numPr>
        <w:tabs>
          <w:tab w:val="clear" w:pos="720"/>
          <w:tab w:val="num" w:pos="284"/>
        </w:tabs>
        <w:ind w:left="284" w:hanging="284"/>
        <w:jc w:val="both"/>
        <w:rPr>
          <w:sz w:val="22"/>
          <w:szCs w:val="22"/>
        </w:rPr>
      </w:pPr>
      <w:r w:rsidRPr="00AE10C3">
        <w:rPr>
          <w:sz w:val="22"/>
          <w:szCs w:val="22"/>
        </w:rPr>
        <w:t xml:space="preserve">Three things raise our concern related to the PSMN: first, while budget should be assigned according to the performance of the previous year, MEF is still assigning it on a historical basis. Second, there is no coherence between what was originally planned for 2008 and what was actually executed. Finally, not only the efficacy to carry out investment projects is quite low, but the budget destined to capital is, in general, little relative to the needs; given the infrastructure and equipment deficit. </w:t>
      </w:r>
    </w:p>
    <w:p w:rsidR="00353ED4" w:rsidRPr="00AE10C3" w:rsidRDefault="00353ED4" w:rsidP="00224D03">
      <w:pPr>
        <w:pStyle w:val="Prrafodelista"/>
        <w:numPr>
          <w:ilvl w:val="0"/>
          <w:numId w:val="35"/>
        </w:numPr>
        <w:tabs>
          <w:tab w:val="clear" w:pos="720"/>
          <w:tab w:val="num" w:pos="284"/>
        </w:tabs>
        <w:ind w:left="284" w:hanging="284"/>
        <w:jc w:val="both"/>
        <w:rPr>
          <w:sz w:val="22"/>
          <w:szCs w:val="22"/>
        </w:rPr>
      </w:pPr>
      <w:r w:rsidRPr="00AE10C3">
        <w:rPr>
          <w:sz w:val="22"/>
          <w:szCs w:val="22"/>
        </w:rPr>
        <w:t xml:space="preserve">For the institutional delivery component of the PSMN, the results indicate that execution is higher and it seems to be more correspondence among what was budgeted and what was executed. Most physical goals related to deliveries are being fulfilled. </w:t>
      </w:r>
    </w:p>
    <w:p w:rsidR="00353ED4" w:rsidRPr="00AE10C3" w:rsidRDefault="00353ED4" w:rsidP="00555557">
      <w:pPr>
        <w:pStyle w:val="Prrafodelista"/>
        <w:numPr>
          <w:ilvl w:val="0"/>
          <w:numId w:val="35"/>
        </w:numPr>
        <w:tabs>
          <w:tab w:val="clear" w:pos="720"/>
          <w:tab w:val="num" w:pos="284"/>
        </w:tabs>
        <w:ind w:left="284" w:hanging="284"/>
        <w:jc w:val="both"/>
        <w:rPr>
          <w:sz w:val="22"/>
          <w:szCs w:val="22"/>
        </w:rPr>
      </w:pPr>
      <w:r w:rsidRPr="00AE10C3">
        <w:rPr>
          <w:sz w:val="22"/>
          <w:szCs w:val="22"/>
        </w:rPr>
        <w:t>When considering only the PSMN, on average, the program is subsidiz</w:t>
      </w:r>
      <w:r>
        <w:rPr>
          <w:sz w:val="22"/>
          <w:szCs w:val="22"/>
        </w:rPr>
        <w:t>ing 170.68 nuevos soles per delivery</w:t>
      </w:r>
      <w:r w:rsidRPr="00AE10C3">
        <w:rPr>
          <w:sz w:val="22"/>
          <w:szCs w:val="22"/>
        </w:rPr>
        <w:t xml:space="preserve"> (almost 60 dollars per user). In the case of complicated deliveries’, the non chirurgical complications deliveries get a subsidy of 322 nuevos soles (more than 100 dollars) while the chirurgical complications get 283 nuevos soles (almost 95 dollars). There seems to be an inconsistency in the subsidy policy. </w:t>
      </w:r>
    </w:p>
    <w:p w:rsidR="00353ED4" w:rsidRDefault="00353ED4" w:rsidP="00D82964">
      <w:pPr>
        <w:pStyle w:val="Prrafodelista"/>
        <w:numPr>
          <w:ilvl w:val="0"/>
          <w:numId w:val="35"/>
        </w:numPr>
        <w:tabs>
          <w:tab w:val="clear" w:pos="720"/>
          <w:tab w:val="num" w:pos="284"/>
        </w:tabs>
        <w:ind w:left="284" w:hanging="284"/>
        <w:jc w:val="both"/>
      </w:pPr>
      <w:r w:rsidRPr="005B6444">
        <w:rPr>
          <w:sz w:val="22"/>
          <w:szCs w:val="22"/>
        </w:rPr>
        <w:t>According to PEAS/PRAES information, a normal delivery should cost around 80 nuevos soles, significantly less than the actual subsidy of 123 nuevos soles. However, when more services are included, deliveries can cost up to 250 nuevos soles. A cesarean section should cost 182 nuevos soles while a complicated delivery, including all services, should cost up to 420 nuevos soles</w:t>
      </w:r>
      <w:r w:rsidRPr="00AE10C3">
        <w:t xml:space="preserve">. </w:t>
      </w:r>
    </w:p>
    <w:p w:rsidR="00353ED4" w:rsidRPr="00F23BEA" w:rsidRDefault="00353ED4" w:rsidP="00F23BEA">
      <w:pPr>
        <w:rPr>
          <w:sz w:val="22"/>
          <w:szCs w:val="22"/>
        </w:rPr>
      </w:pPr>
    </w:p>
    <w:p w:rsidR="00353ED4" w:rsidRPr="00F23BEA" w:rsidRDefault="00353ED4" w:rsidP="00F23BEA">
      <w:pPr>
        <w:rPr>
          <w:sz w:val="22"/>
          <w:szCs w:val="22"/>
        </w:rPr>
      </w:pPr>
    </w:p>
    <w:p w:rsidR="00353ED4" w:rsidRDefault="00353ED4" w:rsidP="00555557">
      <w:pPr>
        <w:rPr>
          <w:sz w:val="22"/>
          <w:szCs w:val="22"/>
        </w:rPr>
      </w:pPr>
    </w:p>
    <w:p w:rsidR="00353ED4" w:rsidRDefault="00353ED4" w:rsidP="00F23BEA">
      <w:pPr>
        <w:tabs>
          <w:tab w:val="left" w:pos="1005"/>
        </w:tabs>
        <w:rPr>
          <w:sz w:val="22"/>
          <w:szCs w:val="22"/>
        </w:rPr>
      </w:pPr>
      <w:r>
        <w:rPr>
          <w:sz w:val="22"/>
          <w:szCs w:val="22"/>
        </w:rPr>
        <w:tab/>
      </w:r>
    </w:p>
    <w:p w:rsidR="00353ED4" w:rsidRDefault="00353ED4">
      <w:pPr>
        <w:spacing w:before="0" w:after="0" w:line="240" w:lineRule="auto"/>
        <w:rPr>
          <w:sz w:val="22"/>
          <w:szCs w:val="22"/>
        </w:rPr>
      </w:pPr>
      <w:r>
        <w:rPr>
          <w:sz w:val="22"/>
          <w:szCs w:val="22"/>
        </w:rPr>
        <w:br w:type="page"/>
      </w:r>
    </w:p>
    <w:p w:rsidR="00353ED4" w:rsidRDefault="00353ED4" w:rsidP="00F23BEA">
      <w:pPr>
        <w:pStyle w:val="Ttulo1"/>
      </w:pPr>
      <w:bookmarkStart w:id="92" w:name="_Toc254270045"/>
      <w:r>
        <w:t>Challenges</w:t>
      </w:r>
      <w:bookmarkEnd w:id="92"/>
    </w:p>
    <w:p w:rsidR="00353ED4" w:rsidRPr="00BD1E92" w:rsidRDefault="00353ED4" w:rsidP="00D82964">
      <w:pPr>
        <w:rPr>
          <w:sz w:val="22"/>
          <w:szCs w:val="22"/>
        </w:rPr>
      </w:pPr>
      <w:r>
        <w:rPr>
          <w:sz w:val="22"/>
          <w:szCs w:val="22"/>
        </w:rPr>
        <w:t xml:space="preserve">Throughout the study, a number of challenges have arisen: </w:t>
      </w:r>
    </w:p>
    <w:p w:rsidR="00353ED4" w:rsidRDefault="00353ED4" w:rsidP="00D82964">
      <w:pPr>
        <w:pStyle w:val="Prrafodelista"/>
        <w:numPr>
          <w:ilvl w:val="0"/>
          <w:numId w:val="38"/>
        </w:numPr>
        <w:rPr>
          <w:sz w:val="22"/>
          <w:szCs w:val="22"/>
        </w:rPr>
      </w:pPr>
      <w:r w:rsidRPr="00BD1E92">
        <w:rPr>
          <w:sz w:val="22"/>
          <w:szCs w:val="22"/>
        </w:rPr>
        <w:t>The main</w:t>
      </w:r>
      <w:r>
        <w:rPr>
          <w:sz w:val="22"/>
          <w:szCs w:val="22"/>
        </w:rPr>
        <w:t xml:space="preserve"> source of budget information, the SIAF, presents a number of problems. The main one is that information is not sorted by type of service provider. For example, to determine the expenditure in hospitals, it is necessary to add the budget for hospitals in each program, like individual, collective health and regional governments.</w:t>
      </w:r>
    </w:p>
    <w:p w:rsidR="00353ED4" w:rsidRDefault="00353ED4" w:rsidP="009809AC">
      <w:pPr>
        <w:numPr>
          <w:ilvl w:val="0"/>
          <w:numId w:val="38"/>
        </w:numPr>
        <w:spacing w:before="0"/>
        <w:jc w:val="both"/>
        <w:rPr>
          <w:rFonts w:cs="Tahoma"/>
          <w:sz w:val="22"/>
          <w:szCs w:val="22"/>
        </w:rPr>
      </w:pPr>
      <w:r>
        <w:rPr>
          <w:rFonts w:cs="Tahoma"/>
          <w:sz w:val="22"/>
          <w:szCs w:val="22"/>
        </w:rPr>
        <w:t xml:space="preserve">   In fact, t</w:t>
      </w:r>
      <w:r w:rsidRPr="00C331C1">
        <w:rPr>
          <w:rFonts w:cs="Tahoma"/>
          <w:sz w:val="22"/>
          <w:szCs w:val="22"/>
        </w:rPr>
        <w:t>he organizational structure is not well related with the budget structure. The planning ends up bein</w:t>
      </w:r>
      <w:r>
        <w:rPr>
          <w:rFonts w:cs="Tahoma"/>
          <w:sz w:val="22"/>
          <w:szCs w:val="22"/>
        </w:rPr>
        <w:t>g adjusted to the budget´s logic</w:t>
      </w:r>
      <w:r w:rsidRPr="00C331C1">
        <w:rPr>
          <w:rFonts w:cs="Tahoma"/>
          <w:sz w:val="22"/>
          <w:szCs w:val="22"/>
        </w:rPr>
        <w:t xml:space="preserve">, meaning, by executing units, and not the other way </w:t>
      </w:r>
      <w:r>
        <w:rPr>
          <w:rFonts w:cs="Tahoma"/>
          <w:sz w:val="22"/>
          <w:szCs w:val="22"/>
        </w:rPr>
        <w:t>a</w:t>
      </w:r>
      <w:r w:rsidRPr="00C331C1">
        <w:rPr>
          <w:rFonts w:cs="Tahoma"/>
          <w:sz w:val="22"/>
          <w:szCs w:val="22"/>
        </w:rPr>
        <w:t>round. For example, a DISA has the same budget l</w:t>
      </w:r>
      <w:r>
        <w:rPr>
          <w:rFonts w:cs="Tahoma"/>
          <w:sz w:val="22"/>
          <w:szCs w:val="22"/>
        </w:rPr>
        <w:t>evel than a hospital, when the</w:t>
      </w:r>
      <w:r w:rsidRPr="00C331C1">
        <w:rPr>
          <w:rFonts w:cs="Tahoma"/>
          <w:sz w:val="22"/>
          <w:szCs w:val="22"/>
        </w:rPr>
        <w:t xml:space="preserve"> </w:t>
      </w:r>
      <w:r>
        <w:rPr>
          <w:rFonts w:cs="Tahoma"/>
          <w:sz w:val="22"/>
          <w:szCs w:val="22"/>
        </w:rPr>
        <w:t>second</w:t>
      </w:r>
      <w:r w:rsidRPr="00C331C1">
        <w:rPr>
          <w:rFonts w:cs="Tahoma"/>
          <w:sz w:val="22"/>
          <w:szCs w:val="22"/>
        </w:rPr>
        <w:t xml:space="preserve"> one depends on the DISA in terms of organization. </w:t>
      </w:r>
    </w:p>
    <w:p w:rsidR="00353ED4" w:rsidRPr="00C331C1" w:rsidRDefault="00353ED4" w:rsidP="009809AC">
      <w:pPr>
        <w:numPr>
          <w:ilvl w:val="0"/>
          <w:numId w:val="38"/>
        </w:numPr>
        <w:spacing w:before="0"/>
        <w:jc w:val="both"/>
        <w:rPr>
          <w:rFonts w:cs="Tahoma"/>
          <w:sz w:val="22"/>
          <w:szCs w:val="22"/>
        </w:rPr>
      </w:pPr>
      <w:r>
        <w:rPr>
          <w:rFonts w:cs="Tahoma"/>
          <w:sz w:val="22"/>
          <w:szCs w:val="22"/>
        </w:rPr>
        <w:tab/>
        <w:t>Given SIAF budget structure, i</w:t>
      </w:r>
      <w:r w:rsidRPr="00C331C1">
        <w:rPr>
          <w:rFonts w:cs="Tahoma"/>
          <w:sz w:val="22"/>
          <w:szCs w:val="22"/>
        </w:rPr>
        <w:t xml:space="preserve">t </w:t>
      </w:r>
      <w:r>
        <w:rPr>
          <w:rFonts w:cs="Tahoma"/>
          <w:sz w:val="22"/>
          <w:szCs w:val="22"/>
        </w:rPr>
        <w:t xml:space="preserve">is also </w:t>
      </w:r>
      <w:r w:rsidRPr="00C331C1">
        <w:rPr>
          <w:rFonts w:cs="Tahoma"/>
          <w:sz w:val="22"/>
          <w:szCs w:val="22"/>
        </w:rPr>
        <w:t>difficult to track the health expenditures in regional governments because the executing units are the Regional Government’s Head Office and the Regional Government’s Health Office; both of them assign</w:t>
      </w:r>
      <w:r>
        <w:rPr>
          <w:rFonts w:cs="Tahoma"/>
          <w:sz w:val="22"/>
          <w:szCs w:val="22"/>
        </w:rPr>
        <w:t xml:space="preserve"> a</w:t>
      </w:r>
      <w:r w:rsidRPr="00C331C1">
        <w:rPr>
          <w:rFonts w:cs="Tahoma"/>
          <w:sz w:val="22"/>
          <w:szCs w:val="22"/>
        </w:rPr>
        <w:t xml:space="preserve"> budget to DIRESAs and hospitals. </w:t>
      </w:r>
    </w:p>
    <w:p w:rsidR="00353ED4" w:rsidRDefault="00353ED4" w:rsidP="009809AC">
      <w:pPr>
        <w:pStyle w:val="Prrafodelista"/>
        <w:numPr>
          <w:ilvl w:val="0"/>
          <w:numId w:val="38"/>
        </w:numPr>
        <w:rPr>
          <w:sz w:val="22"/>
          <w:szCs w:val="22"/>
        </w:rPr>
      </w:pPr>
      <w:r>
        <w:rPr>
          <w:sz w:val="22"/>
          <w:szCs w:val="22"/>
        </w:rPr>
        <w:t xml:space="preserve">   </w:t>
      </w:r>
      <w:r w:rsidRPr="002E6C9B">
        <w:rPr>
          <w:sz w:val="22"/>
          <w:szCs w:val="22"/>
        </w:rPr>
        <w:t xml:space="preserve">Many </w:t>
      </w:r>
      <w:r>
        <w:rPr>
          <w:sz w:val="22"/>
          <w:szCs w:val="22"/>
        </w:rPr>
        <w:t>expenditure</w:t>
      </w:r>
      <w:r w:rsidRPr="002E6C9B">
        <w:rPr>
          <w:sz w:val="22"/>
          <w:szCs w:val="22"/>
        </w:rPr>
        <w:t xml:space="preserve"> indicators have been discontinued or the methodology</w:t>
      </w:r>
      <w:r>
        <w:rPr>
          <w:sz w:val="22"/>
          <w:szCs w:val="22"/>
        </w:rPr>
        <w:t xml:space="preserve"> to estimate them has changed. </w:t>
      </w:r>
      <w:r w:rsidRPr="002E6C9B">
        <w:rPr>
          <w:sz w:val="22"/>
          <w:szCs w:val="22"/>
        </w:rPr>
        <w:t>For example</w:t>
      </w:r>
      <w:r>
        <w:rPr>
          <w:sz w:val="22"/>
          <w:szCs w:val="22"/>
        </w:rPr>
        <w:t>,</w:t>
      </w:r>
      <w:r w:rsidRPr="002E6C9B">
        <w:rPr>
          <w:sz w:val="22"/>
          <w:szCs w:val="22"/>
        </w:rPr>
        <w:t xml:space="preserve"> there is no data o</w:t>
      </w:r>
      <w:r>
        <w:rPr>
          <w:sz w:val="22"/>
          <w:szCs w:val="22"/>
        </w:rPr>
        <w:t>n</w:t>
      </w:r>
      <w:r w:rsidRPr="002E6C9B">
        <w:rPr>
          <w:sz w:val="22"/>
          <w:szCs w:val="22"/>
        </w:rPr>
        <w:t xml:space="preserve"> private expenditure in health from 2006 </w:t>
      </w:r>
      <w:r>
        <w:rPr>
          <w:sz w:val="22"/>
          <w:szCs w:val="22"/>
        </w:rPr>
        <w:t>o</w:t>
      </w:r>
      <w:r w:rsidRPr="002E6C9B">
        <w:rPr>
          <w:sz w:val="22"/>
          <w:szCs w:val="22"/>
        </w:rPr>
        <w:t>nwards</w:t>
      </w:r>
      <w:r>
        <w:rPr>
          <w:sz w:val="22"/>
          <w:szCs w:val="22"/>
        </w:rPr>
        <w:t>. This makes it hard to define long term tendencies of expenditure.</w:t>
      </w:r>
    </w:p>
    <w:p w:rsidR="00353ED4" w:rsidRDefault="00353ED4" w:rsidP="009809AC">
      <w:pPr>
        <w:pStyle w:val="Prrafodelista"/>
        <w:numPr>
          <w:ilvl w:val="0"/>
          <w:numId w:val="38"/>
        </w:numPr>
        <w:rPr>
          <w:sz w:val="22"/>
          <w:szCs w:val="22"/>
        </w:rPr>
      </w:pPr>
      <w:r>
        <w:rPr>
          <w:sz w:val="22"/>
          <w:szCs w:val="22"/>
        </w:rPr>
        <w:t xml:space="preserve">   Similarly, even though EsSalud represents a higher number than MINSA´s total expenditure, information regarding EsSalud expenditure was not up to date.</w:t>
      </w:r>
    </w:p>
    <w:p w:rsidR="00353ED4" w:rsidRDefault="00353ED4" w:rsidP="009809AC">
      <w:pPr>
        <w:pStyle w:val="Prrafodelista"/>
        <w:numPr>
          <w:ilvl w:val="0"/>
          <w:numId w:val="38"/>
        </w:numPr>
        <w:rPr>
          <w:sz w:val="22"/>
          <w:szCs w:val="22"/>
        </w:rPr>
      </w:pPr>
      <w:r>
        <w:rPr>
          <w:sz w:val="22"/>
          <w:szCs w:val="22"/>
        </w:rPr>
        <w:t xml:space="preserve">   Estimating unitary subsidy is complex. Required a number of assumptions because the MINSA either does not possess information on per user expenditure or it does not publishes it together with other statistics.</w:t>
      </w:r>
    </w:p>
    <w:p w:rsidR="00353ED4" w:rsidRDefault="00353ED4" w:rsidP="009809AC">
      <w:pPr>
        <w:pStyle w:val="Prrafodelista"/>
        <w:numPr>
          <w:ilvl w:val="0"/>
          <w:numId w:val="38"/>
        </w:numPr>
        <w:rPr>
          <w:sz w:val="22"/>
          <w:szCs w:val="22"/>
        </w:rPr>
      </w:pPr>
      <w:r>
        <w:rPr>
          <w:sz w:val="22"/>
          <w:szCs w:val="22"/>
        </w:rPr>
        <w:t xml:space="preserve">    In the ENAHO, financing by SIS and Public donations can not be set apart easily. For the BIA we used affiliation to the SIS as a way to separate financing but using this methodology can hide the nature of problems such as program filtration or ineffective unitary subsidy.  </w:t>
      </w:r>
    </w:p>
    <w:p w:rsidR="00353ED4" w:rsidRDefault="00353ED4">
      <w:pPr>
        <w:spacing w:before="0" w:after="0" w:line="240" w:lineRule="auto"/>
        <w:rPr>
          <w:sz w:val="22"/>
          <w:szCs w:val="22"/>
        </w:rPr>
      </w:pPr>
      <w:r>
        <w:rPr>
          <w:sz w:val="22"/>
          <w:szCs w:val="22"/>
        </w:rPr>
        <w:br w:type="page"/>
      </w:r>
    </w:p>
    <w:p w:rsidR="00353ED4" w:rsidRPr="00AC10D7" w:rsidRDefault="00353ED4" w:rsidP="00AC10D7">
      <w:pPr>
        <w:pStyle w:val="Ttulo1"/>
      </w:pPr>
      <w:bookmarkStart w:id="93" w:name="_Toc254270046"/>
      <w:r>
        <w:t>Possible extensions</w:t>
      </w:r>
      <w:bookmarkEnd w:id="93"/>
    </w:p>
    <w:p w:rsidR="00353ED4" w:rsidRPr="0035693A" w:rsidRDefault="00353ED4" w:rsidP="0035693A">
      <w:pPr>
        <w:pStyle w:val="Ttulo4"/>
      </w:pPr>
      <w:r w:rsidRPr="0035693A">
        <w:t>PBA</w:t>
      </w:r>
    </w:p>
    <w:p w:rsidR="00353ED4" w:rsidRPr="0035693A" w:rsidRDefault="00353ED4" w:rsidP="009809AC">
      <w:pPr>
        <w:tabs>
          <w:tab w:val="num" w:pos="284"/>
        </w:tabs>
        <w:jc w:val="both"/>
        <w:rPr>
          <w:sz w:val="22"/>
        </w:rPr>
      </w:pPr>
      <w:r w:rsidRPr="0035693A">
        <w:rPr>
          <w:sz w:val="22"/>
        </w:rPr>
        <w:t>The presented analysis has been made using, as a starting point, the analysis made in MINSA &amp; CIES (2008), which reviews health expenditure for the period 1985-2005</w:t>
      </w:r>
      <w:r>
        <w:rPr>
          <w:sz w:val="22"/>
        </w:rPr>
        <w:t>. I</w:t>
      </w:r>
      <w:r w:rsidRPr="0035693A">
        <w:rPr>
          <w:sz w:val="22"/>
        </w:rPr>
        <w:t>t analyses both public and private expenditure, which is useful to determine the overall health condition, especially in a country where most of the financing comes from pocket expenditure, rather than public expenditure. It would be, therefore, useful to have an updated analysis of this type.</w:t>
      </w:r>
      <w:r>
        <w:rPr>
          <w:sz w:val="22"/>
        </w:rPr>
        <w:t xml:space="preserve"> As in the original work, direct collaboration from the MINSA would be necessary. If this is the case, EsSalud expenditure should also being included.</w:t>
      </w:r>
    </w:p>
    <w:p w:rsidR="00353ED4" w:rsidRPr="0035693A" w:rsidRDefault="00353ED4" w:rsidP="00942135">
      <w:pPr>
        <w:tabs>
          <w:tab w:val="num" w:pos="284"/>
        </w:tabs>
        <w:jc w:val="both"/>
        <w:rPr>
          <w:sz w:val="22"/>
        </w:rPr>
      </w:pPr>
      <w:r w:rsidRPr="0035693A">
        <w:rPr>
          <w:sz w:val="22"/>
        </w:rPr>
        <w:t>SIAF, our main information source, is available through its website; however, the way of presenting the information i</w:t>
      </w:r>
      <w:r>
        <w:rPr>
          <w:sz w:val="22"/>
        </w:rPr>
        <w:t>s not flexible enough to make a more in depth analysis</w:t>
      </w:r>
      <w:r w:rsidRPr="0035693A">
        <w:rPr>
          <w:sz w:val="22"/>
        </w:rPr>
        <w:t>.</w:t>
      </w:r>
      <w:r>
        <w:rPr>
          <w:sz w:val="22"/>
        </w:rPr>
        <w:t xml:space="preserve"> A possible extension could help ascertain the costs by type of input, for example,</w:t>
      </w:r>
      <w:r w:rsidRPr="0035693A">
        <w:rPr>
          <w:sz w:val="22"/>
        </w:rPr>
        <w:t xml:space="preserve"> medic</w:t>
      </w:r>
      <w:r>
        <w:rPr>
          <w:sz w:val="22"/>
        </w:rPr>
        <w:t>ines, medical supplies</w:t>
      </w:r>
      <w:r w:rsidRPr="0035693A">
        <w:rPr>
          <w:sz w:val="22"/>
        </w:rPr>
        <w:t>, office supplies, doctors, technician, nurses, etc. This task would be more accessible if all regions would register evenly the same categories of expenditure.</w:t>
      </w:r>
      <w:r>
        <w:rPr>
          <w:sz w:val="22"/>
        </w:rPr>
        <w:t xml:space="preserve"> </w:t>
      </w:r>
      <w:r w:rsidRPr="0035693A">
        <w:rPr>
          <w:sz w:val="22"/>
        </w:rPr>
        <w:t xml:space="preserve"> </w:t>
      </w:r>
    </w:p>
    <w:p w:rsidR="00353ED4" w:rsidRPr="0035693A" w:rsidRDefault="00353ED4" w:rsidP="00942135">
      <w:pPr>
        <w:tabs>
          <w:tab w:val="num" w:pos="284"/>
        </w:tabs>
        <w:jc w:val="both"/>
        <w:rPr>
          <w:sz w:val="22"/>
        </w:rPr>
      </w:pPr>
      <w:r>
        <w:rPr>
          <w:sz w:val="22"/>
        </w:rPr>
        <w:t xml:space="preserve">Our analysis </w:t>
      </w:r>
      <w:r w:rsidRPr="0035693A">
        <w:rPr>
          <w:sz w:val="22"/>
        </w:rPr>
        <w:t>follow</w:t>
      </w:r>
      <w:r>
        <w:rPr>
          <w:sz w:val="22"/>
        </w:rPr>
        <w:t>ed</w:t>
      </w:r>
      <w:r w:rsidRPr="0035693A">
        <w:rPr>
          <w:sz w:val="22"/>
        </w:rPr>
        <w:t xml:space="preserve"> SIAF</w:t>
      </w:r>
      <w:r>
        <w:rPr>
          <w:sz w:val="22"/>
        </w:rPr>
        <w:t xml:space="preserve"> organization, by</w:t>
      </w:r>
      <w:r w:rsidRPr="0035693A">
        <w:rPr>
          <w:sz w:val="22"/>
        </w:rPr>
        <w:t xml:space="preserve"> executing units: </w:t>
      </w:r>
      <w:r>
        <w:rPr>
          <w:sz w:val="22"/>
        </w:rPr>
        <w:t>h</w:t>
      </w:r>
      <w:r w:rsidRPr="0035693A">
        <w:rPr>
          <w:sz w:val="22"/>
        </w:rPr>
        <w:t xml:space="preserve">ealth </w:t>
      </w:r>
      <w:r>
        <w:rPr>
          <w:sz w:val="22"/>
        </w:rPr>
        <w:t>c</w:t>
      </w:r>
      <w:r w:rsidRPr="0035693A">
        <w:rPr>
          <w:sz w:val="22"/>
        </w:rPr>
        <w:t xml:space="preserve">enters and </w:t>
      </w:r>
      <w:r>
        <w:rPr>
          <w:sz w:val="22"/>
        </w:rPr>
        <w:t>p</w:t>
      </w:r>
      <w:r w:rsidRPr="0035693A">
        <w:rPr>
          <w:sz w:val="22"/>
        </w:rPr>
        <w:t xml:space="preserve">osts, </w:t>
      </w:r>
      <w:r>
        <w:rPr>
          <w:sz w:val="22"/>
        </w:rPr>
        <w:t>h</w:t>
      </w:r>
      <w:r w:rsidRPr="0035693A">
        <w:rPr>
          <w:sz w:val="22"/>
        </w:rPr>
        <w:t xml:space="preserve">ospitals, </w:t>
      </w:r>
      <w:r>
        <w:rPr>
          <w:sz w:val="22"/>
        </w:rPr>
        <w:t>m</w:t>
      </w:r>
      <w:r w:rsidRPr="0035693A">
        <w:rPr>
          <w:sz w:val="22"/>
        </w:rPr>
        <w:t xml:space="preserve">inisterial </w:t>
      </w:r>
      <w:r>
        <w:rPr>
          <w:sz w:val="22"/>
        </w:rPr>
        <w:t>a</w:t>
      </w:r>
      <w:r w:rsidRPr="0035693A">
        <w:rPr>
          <w:sz w:val="22"/>
        </w:rPr>
        <w:t xml:space="preserve">dministration, OPDs and </w:t>
      </w:r>
      <w:r>
        <w:rPr>
          <w:sz w:val="22"/>
        </w:rPr>
        <w:t>r</w:t>
      </w:r>
      <w:r w:rsidRPr="0035693A">
        <w:rPr>
          <w:sz w:val="22"/>
        </w:rPr>
        <w:t xml:space="preserve">egional </w:t>
      </w:r>
      <w:r>
        <w:rPr>
          <w:sz w:val="22"/>
        </w:rPr>
        <w:t>g</w:t>
      </w:r>
      <w:r w:rsidRPr="0035693A">
        <w:rPr>
          <w:sz w:val="22"/>
        </w:rPr>
        <w:t xml:space="preserve">overnment. </w:t>
      </w:r>
      <w:r>
        <w:rPr>
          <w:sz w:val="22"/>
        </w:rPr>
        <w:t>A m</w:t>
      </w:r>
      <w:r w:rsidRPr="0035693A">
        <w:rPr>
          <w:sz w:val="22"/>
        </w:rPr>
        <w:t xml:space="preserve">ore clear analysis could be </w:t>
      </w:r>
      <w:r>
        <w:rPr>
          <w:sz w:val="22"/>
        </w:rPr>
        <w:t xml:space="preserve">done by </w:t>
      </w:r>
      <w:r w:rsidRPr="0035693A">
        <w:rPr>
          <w:sz w:val="22"/>
        </w:rPr>
        <w:t>classify</w:t>
      </w:r>
      <w:r>
        <w:rPr>
          <w:sz w:val="22"/>
        </w:rPr>
        <w:t>ing</w:t>
      </w:r>
      <w:r w:rsidRPr="0035693A">
        <w:rPr>
          <w:sz w:val="22"/>
        </w:rPr>
        <w:t xml:space="preserve"> only by health establishments: </w:t>
      </w:r>
      <w:r>
        <w:rPr>
          <w:sz w:val="22"/>
        </w:rPr>
        <w:t>h</w:t>
      </w:r>
      <w:r w:rsidRPr="0035693A">
        <w:rPr>
          <w:sz w:val="22"/>
        </w:rPr>
        <w:t xml:space="preserve">ospitals, </w:t>
      </w:r>
      <w:r>
        <w:rPr>
          <w:sz w:val="22"/>
        </w:rPr>
        <w:t>h</w:t>
      </w:r>
      <w:r w:rsidRPr="0035693A">
        <w:rPr>
          <w:sz w:val="22"/>
        </w:rPr>
        <w:t xml:space="preserve">ealth </w:t>
      </w:r>
      <w:r>
        <w:rPr>
          <w:sz w:val="22"/>
        </w:rPr>
        <w:t>c</w:t>
      </w:r>
      <w:r w:rsidRPr="0035693A">
        <w:rPr>
          <w:sz w:val="22"/>
        </w:rPr>
        <w:t xml:space="preserve">enters and </w:t>
      </w:r>
      <w:r>
        <w:rPr>
          <w:sz w:val="22"/>
        </w:rPr>
        <w:t>h</w:t>
      </w:r>
      <w:r w:rsidRPr="0035693A">
        <w:rPr>
          <w:sz w:val="22"/>
        </w:rPr>
        <w:t xml:space="preserve">ealth </w:t>
      </w:r>
      <w:r>
        <w:rPr>
          <w:sz w:val="22"/>
        </w:rPr>
        <w:t>p</w:t>
      </w:r>
      <w:r w:rsidRPr="0035693A">
        <w:rPr>
          <w:sz w:val="22"/>
        </w:rPr>
        <w:t xml:space="preserve">osts. </w:t>
      </w:r>
      <w:r>
        <w:rPr>
          <w:sz w:val="22"/>
        </w:rPr>
        <w:t>E</w:t>
      </w:r>
      <w:r w:rsidRPr="0035693A">
        <w:rPr>
          <w:sz w:val="22"/>
        </w:rPr>
        <w:t xml:space="preserve">ven the Ministry’s administration expenditure has a direct impact in how hospitals and health centers and health posts work. </w:t>
      </w:r>
      <w:r>
        <w:rPr>
          <w:sz w:val="22"/>
        </w:rPr>
        <w:t>A m</w:t>
      </w:r>
      <w:r w:rsidRPr="0035693A">
        <w:rPr>
          <w:sz w:val="22"/>
        </w:rPr>
        <w:t xml:space="preserve">ore </w:t>
      </w:r>
      <w:r>
        <w:rPr>
          <w:sz w:val="22"/>
        </w:rPr>
        <w:t xml:space="preserve">extensive </w:t>
      </w:r>
      <w:r w:rsidRPr="0035693A">
        <w:rPr>
          <w:sz w:val="22"/>
        </w:rPr>
        <w:t xml:space="preserve">research could help make such a classification. Regional </w:t>
      </w:r>
      <w:r>
        <w:rPr>
          <w:sz w:val="22"/>
        </w:rPr>
        <w:t>g</w:t>
      </w:r>
      <w:r w:rsidRPr="0035693A">
        <w:rPr>
          <w:sz w:val="22"/>
        </w:rPr>
        <w:t xml:space="preserve">overnment </w:t>
      </w:r>
      <w:r>
        <w:rPr>
          <w:sz w:val="22"/>
        </w:rPr>
        <w:t xml:space="preserve">and SIS </w:t>
      </w:r>
      <w:r w:rsidRPr="0035693A">
        <w:rPr>
          <w:sz w:val="22"/>
        </w:rPr>
        <w:t>expenditure can be divided into hospitals, health centers and health posts if each investment project is classified</w:t>
      </w:r>
      <w:r>
        <w:rPr>
          <w:sz w:val="22"/>
        </w:rPr>
        <w:t xml:space="preserve">. </w:t>
      </w:r>
    </w:p>
    <w:p w:rsidR="00353ED4" w:rsidRPr="0035693A" w:rsidRDefault="00353ED4" w:rsidP="009809AC">
      <w:pPr>
        <w:tabs>
          <w:tab w:val="num" w:pos="284"/>
        </w:tabs>
        <w:jc w:val="both"/>
        <w:rPr>
          <w:sz w:val="22"/>
        </w:rPr>
      </w:pPr>
      <w:r w:rsidRPr="0035693A">
        <w:rPr>
          <w:sz w:val="22"/>
        </w:rPr>
        <w:t xml:space="preserve">Finally, for the PSMN, a </w:t>
      </w:r>
      <w:r>
        <w:rPr>
          <w:sz w:val="22"/>
        </w:rPr>
        <w:t>re</w:t>
      </w:r>
      <w:r w:rsidRPr="0035693A">
        <w:rPr>
          <w:sz w:val="22"/>
        </w:rPr>
        <w:t>search on why is the execution surpassing the original goals (for the delivery components)  and why the other components are still so lacking is something that should be included in future research.</w:t>
      </w:r>
      <w:r>
        <w:rPr>
          <w:sz w:val="22"/>
        </w:rPr>
        <w:t xml:space="preserve"> This information should be acquired directly from the MEF or the executing units of the PSMN.  </w:t>
      </w:r>
    </w:p>
    <w:p w:rsidR="00353ED4" w:rsidRPr="0035693A" w:rsidRDefault="00353ED4" w:rsidP="0035693A">
      <w:pPr>
        <w:pStyle w:val="Ttulo4"/>
      </w:pPr>
      <w:r w:rsidRPr="0035693A">
        <w:t>BIA</w:t>
      </w:r>
    </w:p>
    <w:p w:rsidR="00353ED4" w:rsidRDefault="00353ED4" w:rsidP="00942135">
      <w:pPr>
        <w:jc w:val="both"/>
        <w:rPr>
          <w:sz w:val="22"/>
        </w:rPr>
      </w:pPr>
      <w:r w:rsidRPr="0035693A">
        <w:rPr>
          <w:sz w:val="22"/>
        </w:rPr>
        <w:t>For the general subsidy case, more refinements could still be made, especially when dividing the expenditure of the executing units</w:t>
      </w:r>
      <w:r>
        <w:rPr>
          <w:sz w:val="22"/>
        </w:rPr>
        <w:t>. Because the information for certain executing units, other than hospitals, are not easily divided by facilities, simplifying assumptions had to be made</w:t>
      </w:r>
      <w:r w:rsidRPr="0035693A">
        <w:rPr>
          <w:sz w:val="22"/>
        </w:rPr>
        <w:t xml:space="preserve">. </w:t>
      </w:r>
    </w:p>
    <w:p w:rsidR="00353ED4" w:rsidRPr="0035693A" w:rsidRDefault="00353ED4" w:rsidP="00942135">
      <w:pPr>
        <w:jc w:val="both"/>
        <w:rPr>
          <w:sz w:val="22"/>
        </w:rPr>
      </w:pPr>
      <w:r>
        <w:rPr>
          <w:sz w:val="22"/>
        </w:rPr>
        <w:t>D</w:t>
      </w:r>
      <w:r w:rsidRPr="0035693A">
        <w:rPr>
          <w:sz w:val="22"/>
        </w:rPr>
        <w:t xml:space="preserve">ata on what type of attentions </w:t>
      </w:r>
      <w:r>
        <w:rPr>
          <w:sz w:val="22"/>
        </w:rPr>
        <w:t xml:space="preserve">is </w:t>
      </w:r>
      <w:r w:rsidRPr="0035693A">
        <w:rPr>
          <w:sz w:val="22"/>
        </w:rPr>
        <w:t>made in MINSA establishments (by specialty and objective</w:t>
      </w:r>
      <w:r>
        <w:rPr>
          <w:sz w:val="22"/>
        </w:rPr>
        <w:t>,</w:t>
      </w:r>
      <w:r w:rsidRPr="0035693A">
        <w:rPr>
          <w:sz w:val="22"/>
        </w:rPr>
        <w:t xml:space="preserve"> preventive or healing) could </w:t>
      </w:r>
      <w:r>
        <w:rPr>
          <w:sz w:val="22"/>
        </w:rPr>
        <w:t xml:space="preserve">also </w:t>
      </w:r>
      <w:r w:rsidRPr="0035693A">
        <w:rPr>
          <w:sz w:val="22"/>
        </w:rPr>
        <w:t xml:space="preserve">help differentiate </w:t>
      </w:r>
      <w:r>
        <w:rPr>
          <w:sz w:val="22"/>
        </w:rPr>
        <w:t xml:space="preserve">the </w:t>
      </w:r>
      <w:r w:rsidRPr="0035693A">
        <w:rPr>
          <w:sz w:val="22"/>
        </w:rPr>
        <w:t xml:space="preserve">attentions </w:t>
      </w:r>
      <w:r>
        <w:rPr>
          <w:sz w:val="22"/>
        </w:rPr>
        <w:t xml:space="preserve">that </w:t>
      </w:r>
      <w:r w:rsidRPr="0035693A">
        <w:rPr>
          <w:sz w:val="22"/>
        </w:rPr>
        <w:t xml:space="preserve">receive more support from the government. Moreover, ENAHO allows </w:t>
      </w:r>
      <w:r>
        <w:rPr>
          <w:sz w:val="22"/>
        </w:rPr>
        <w:t xml:space="preserve">subsidy </w:t>
      </w:r>
      <w:r w:rsidRPr="0035693A">
        <w:rPr>
          <w:sz w:val="22"/>
        </w:rPr>
        <w:t xml:space="preserve">calculation by item bought (among 15 items), which could </w:t>
      </w:r>
      <w:r>
        <w:rPr>
          <w:sz w:val="22"/>
        </w:rPr>
        <w:t xml:space="preserve">be use to </w:t>
      </w:r>
      <w:r w:rsidRPr="0035693A">
        <w:rPr>
          <w:sz w:val="22"/>
        </w:rPr>
        <w:t xml:space="preserve">compare subsidy per service and by </w:t>
      </w:r>
      <w:r>
        <w:rPr>
          <w:sz w:val="22"/>
        </w:rPr>
        <w:t>expenditure</w:t>
      </w:r>
      <w:r w:rsidRPr="0035693A">
        <w:rPr>
          <w:sz w:val="22"/>
        </w:rPr>
        <w:t xml:space="preserve"> quintiles.</w:t>
      </w:r>
    </w:p>
    <w:p w:rsidR="00353ED4" w:rsidRDefault="00353ED4" w:rsidP="00942135">
      <w:pPr>
        <w:jc w:val="both"/>
        <w:rPr>
          <w:sz w:val="22"/>
        </w:rPr>
      </w:pPr>
      <w:r w:rsidRPr="0035693A">
        <w:rPr>
          <w:sz w:val="22"/>
        </w:rPr>
        <w:t xml:space="preserve">Furthermore, </w:t>
      </w:r>
      <w:r>
        <w:rPr>
          <w:sz w:val="22"/>
        </w:rPr>
        <w:t xml:space="preserve">it is possible </w:t>
      </w:r>
      <w:r w:rsidRPr="0035693A">
        <w:rPr>
          <w:sz w:val="22"/>
        </w:rPr>
        <w:t>to determine government expenditure impact on household’s welfare</w:t>
      </w:r>
      <w:r>
        <w:rPr>
          <w:sz w:val="22"/>
        </w:rPr>
        <w:t xml:space="preserve"> through a </w:t>
      </w:r>
      <w:r w:rsidRPr="0035693A">
        <w:rPr>
          <w:sz w:val="22"/>
        </w:rPr>
        <w:t xml:space="preserve">model </w:t>
      </w:r>
      <w:r>
        <w:rPr>
          <w:sz w:val="22"/>
        </w:rPr>
        <w:t xml:space="preserve">on </w:t>
      </w:r>
      <w:r w:rsidRPr="0035693A">
        <w:rPr>
          <w:sz w:val="22"/>
        </w:rPr>
        <w:t>how specific subsidy enlightens the burden of health expenditure on an average household</w:t>
      </w:r>
      <w:r>
        <w:rPr>
          <w:sz w:val="22"/>
        </w:rPr>
        <w:t xml:space="preserve">. </w:t>
      </w:r>
    </w:p>
    <w:p w:rsidR="00353ED4" w:rsidRDefault="00353ED4" w:rsidP="00942135">
      <w:pPr>
        <w:jc w:val="both"/>
        <w:rPr>
          <w:sz w:val="22"/>
        </w:rPr>
      </w:pPr>
      <w:r w:rsidRPr="0035693A">
        <w:rPr>
          <w:sz w:val="22"/>
        </w:rPr>
        <w:t xml:space="preserve">Finally, for the PSMN subsidy, a regional division could be more useful in order to ascertain whether the subsidy is being equally distributed among Peruvian regions, or some </w:t>
      </w:r>
      <w:r>
        <w:rPr>
          <w:sz w:val="22"/>
        </w:rPr>
        <w:t xml:space="preserve">receive </w:t>
      </w:r>
      <w:r w:rsidRPr="0035693A">
        <w:rPr>
          <w:sz w:val="22"/>
        </w:rPr>
        <w:t xml:space="preserve">more than others. It is also important to clarify </w:t>
      </w:r>
      <w:r>
        <w:rPr>
          <w:sz w:val="22"/>
        </w:rPr>
        <w:t>differences</w:t>
      </w:r>
      <w:r w:rsidRPr="0035693A">
        <w:rPr>
          <w:sz w:val="22"/>
        </w:rPr>
        <w:t xml:space="preserve"> between standard costs and actual expenses, as well as differences between ENAHO’s estimation and actual PSMN result.</w:t>
      </w:r>
    </w:p>
    <w:p w:rsidR="00353ED4" w:rsidRDefault="00353ED4">
      <w:pPr>
        <w:spacing w:before="0" w:after="0" w:line="240" w:lineRule="auto"/>
        <w:rPr>
          <w:sz w:val="22"/>
        </w:rPr>
      </w:pPr>
      <w:r>
        <w:rPr>
          <w:sz w:val="22"/>
        </w:rPr>
        <w:br w:type="page"/>
      </w:r>
    </w:p>
    <w:p w:rsidR="00353ED4" w:rsidRPr="00815FA1" w:rsidRDefault="00353ED4" w:rsidP="005F375B">
      <w:pPr>
        <w:pStyle w:val="Ttulo1"/>
      </w:pPr>
      <w:bookmarkStart w:id="94" w:name="_Toc254270047"/>
      <w:r>
        <w:t>Plans for dissemination</w:t>
      </w:r>
      <w:bookmarkEnd w:id="94"/>
    </w:p>
    <w:p w:rsidR="00353ED4" w:rsidRDefault="00353ED4" w:rsidP="00CD640C">
      <w:pPr>
        <w:rPr>
          <w:sz w:val="22"/>
          <w:szCs w:val="22"/>
        </w:rPr>
      </w:pPr>
      <w:r>
        <w:rPr>
          <w:sz w:val="22"/>
          <w:szCs w:val="22"/>
        </w:rPr>
        <w:t>The dissemination of the study considers three spheres: academia, public opinion and public sector.</w:t>
      </w:r>
    </w:p>
    <w:p w:rsidR="00353ED4" w:rsidRDefault="00353ED4" w:rsidP="00BC01CC">
      <w:pPr>
        <w:pStyle w:val="Prrafodelista"/>
        <w:numPr>
          <w:ilvl w:val="0"/>
          <w:numId w:val="39"/>
        </w:numPr>
        <w:rPr>
          <w:sz w:val="22"/>
          <w:szCs w:val="22"/>
        </w:rPr>
      </w:pPr>
      <w:r>
        <w:rPr>
          <w:sz w:val="22"/>
          <w:szCs w:val="22"/>
        </w:rPr>
        <w:t xml:space="preserve">  In the academia level, it is planned to publish the results in the university’s journal and magazine. This will be complemented with an exposition of the results in the universities research center (CIUP) with the attendance of researchers and research assistance. The results of these meetings will probably stimulate further research on the effectiveness of public expending in the health sector. </w:t>
      </w:r>
    </w:p>
    <w:p w:rsidR="00353ED4" w:rsidRDefault="00353ED4" w:rsidP="00BC01CC">
      <w:pPr>
        <w:pStyle w:val="Prrafodelista"/>
        <w:numPr>
          <w:ilvl w:val="0"/>
          <w:numId w:val="39"/>
        </w:numPr>
        <w:rPr>
          <w:sz w:val="22"/>
          <w:szCs w:val="22"/>
        </w:rPr>
      </w:pPr>
      <w:r>
        <w:rPr>
          <w:sz w:val="22"/>
          <w:szCs w:val="22"/>
        </w:rPr>
        <w:t xml:space="preserve">  In the public opinion level, meetings with national non-governmental organizations directors will be scheduled when the final version of the PBA and the BIA have been accepted. This will be done with the intention not only to inform about the results of the research but also to promote their diffusion through their information network and publications.</w:t>
      </w:r>
    </w:p>
    <w:p w:rsidR="00353ED4" w:rsidRPr="005F375B" w:rsidRDefault="00353ED4" w:rsidP="00BC01CC">
      <w:pPr>
        <w:pStyle w:val="Prrafodelista"/>
        <w:numPr>
          <w:ilvl w:val="0"/>
          <w:numId w:val="39"/>
        </w:numPr>
        <w:rPr>
          <w:sz w:val="22"/>
          <w:szCs w:val="22"/>
        </w:rPr>
      </w:pPr>
      <w:r>
        <w:rPr>
          <w:sz w:val="22"/>
          <w:szCs w:val="22"/>
        </w:rPr>
        <w:t xml:space="preserve">  In the public sector level, meetings will be scheduled with MINSA´s officers to discuss the results of the research. Especially important will be the results regarding the PSMN because even the MINSA´s directors are still getting used to this system. Information they can get towards improving the results of their expenditure could be significant. Another possible way to help the diffusion of the results would be to inform directly regional governments, the other important executor of the PSMN. This possibility, though rather remote, is very interesting because of the regional governments’ current inability to execute their budget effectively. In this context, assistance towards improving the effectiveness of expenditure could be very valuable. </w:t>
      </w:r>
    </w:p>
    <w:p w:rsidR="00353ED4" w:rsidRPr="00815FA1" w:rsidRDefault="00353ED4" w:rsidP="008937E1">
      <w:pPr>
        <w:rPr>
          <w:sz w:val="22"/>
          <w:szCs w:val="22"/>
        </w:rPr>
      </w:pPr>
    </w:p>
    <w:p w:rsidR="00353ED4" w:rsidRPr="00815FA1" w:rsidRDefault="00353ED4" w:rsidP="008937E1">
      <w:pPr>
        <w:rPr>
          <w:sz w:val="22"/>
          <w:szCs w:val="22"/>
        </w:rPr>
      </w:pPr>
    </w:p>
    <w:p w:rsidR="00353ED4" w:rsidRPr="00815FA1" w:rsidRDefault="00353ED4" w:rsidP="008937E1">
      <w:pPr>
        <w:rPr>
          <w:sz w:val="22"/>
          <w:szCs w:val="22"/>
        </w:rPr>
      </w:pPr>
    </w:p>
    <w:p w:rsidR="00353ED4" w:rsidRPr="00815FA1" w:rsidRDefault="00353ED4">
      <w:pPr>
        <w:spacing w:before="0" w:after="0" w:line="240" w:lineRule="auto"/>
      </w:pPr>
      <w:r w:rsidRPr="00815FA1">
        <w:br w:type="page"/>
      </w:r>
    </w:p>
    <w:p w:rsidR="00353ED4" w:rsidRPr="00815FA1" w:rsidRDefault="00353ED4" w:rsidP="008937E1">
      <w:pPr>
        <w:pStyle w:val="Ttulo1"/>
        <w:numPr>
          <w:ilvl w:val="0"/>
          <w:numId w:val="28"/>
        </w:numPr>
        <w:ind w:left="567" w:hanging="567"/>
        <w:rPr>
          <w:rStyle w:val="apple-style-span"/>
        </w:rPr>
      </w:pPr>
      <w:bookmarkStart w:id="95" w:name="_Toc254270048"/>
      <w:r w:rsidRPr="00815FA1">
        <w:rPr>
          <w:rStyle w:val="apple-style-span"/>
        </w:rPr>
        <w:t>Bibliography</w:t>
      </w:r>
      <w:bookmarkEnd w:id="95"/>
    </w:p>
    <w:p w:rsidR="00353ED4" w:rsidRPr="00815FA1" w:rsidRDefault="00353ED4" w:rsidP="008740A2">
      <w:pPr>
        <w:jc w:val="both"/>
      </w:pPr>
      <w:r w:rsidRPr="00815FA1">
        <w:rPr>
          <w:rStyle w:val="apple-style-span"/>
          <w:color w:val="000000"/>
        </w:rPr>
        <w:t>Costello A, Osrin D, Manandhar D (2004)</w:t>
      </w:r>
      <w:r w:rsidRPr="00815FA1">
        <w:rPr>
          <w:rStyle w:val="apple-converted-space"/>
          <w:color w:val="000000"/>
        </w:rPr>
        <w:t> </w:t>
      </w:r>
      <w:r w:rsidRPr="00815FA1">
        <w:rPr>
          <w:rStyle w:val="apple-style-span"/>
          <w:i/>
          <w:color w:val="000000"/>
        </w:rPr>
        <w:t>Reducing maternal and neonatal mortality in the poorest communities</w:t>
      </w:r>
      <w:r w:rsidRPr="00815FA1">
        <w:rPr>
          <w:rStyle w:val="apple-style-span"/>
          <w:color w:val="000000"/>
        </w:rPr>
        <w:t>.</w:t>
      </w:r>
      <w:r w:rsidRPr="00815FA1">
        <w:rPr>
          <w:rStyle w:val="apple-converted-space"/>
          <w:color w:val="000000"/>
        </w:rPr>
        <w:t> </w:t>
      </w:r>
      <w:r w:rsidRPr="00815FA1">
        <w:rPr>
          <w:rStyle w:val="apple-style-span"/>
          <w:color w:val="000000"/>
        </w:rPr>
        <w:t xml:space="preserve">BMJ 329: 1166–8.  Available in: </w:t>
      </w:r>
      <w:hyperlink r:id="rId18" w:history="1">
        <w:r w:rsidRPr="00815FA1">
          <w:rPr>
            <w:rStyle w:val="Hipervnculo"/>
          </w:rPr>
          <w:t>http://www.bmj.com/cgi/content/extract/bmj;329/7475/1166</w:t>
        </w:r>
      </w:hyperlink>
    </w:p>
    <w:p w:rsidR="00353ED4" w:rsidRPr="00216521" w:rsidRDefault="00353ED4" w:rsidP="00E8674D">
      <w:pPr>
        <w:jc w:val="both"/>
        <w:rPr>
          <w:lang w:val="es-PE"/>
        </w:rPr>
      </w:pPr>
      <w:r w:rsidRPr="00216521">
        <w:rPr>
          <w:lang w:val="es-PE"/>
        </w:rPr>
        <w:t xml:space="preserve">Cotlear, Daniel (2006) </w:t>
      </w:r>
      <w:r w:rsidRPr="00216521">
        <w:rPr>
          <w:i/>
          <w:lang w:val="es-PE"/>
        </w:rPr>
        <w:t xml:space="preserve">Un nuevo contrato social para el Perú: ¿cómo lograr un país más educado, saludable y solidario? </w:t>
      </w:r>
      <w:r w:rsidRPr="00216521">
        <w:rPr>
          <w:lang w:val="es-PE"/>
        </w:rPr>
        <w:t>Lima : Banco Mundial.</w:t>
      </w:r>
    </w:p>
    <w:p w:rsidR="00353ED4" w:rsidRPr="00216521" w:rsidRDefault="00353ED4" w:rsidP="00E8674D">
      <w:pPr>
        <w:jc w:val="both"/>
        <w:rPr>
          <w:lang w:val="es-PE"/>
        </w:rPr>
      </w:pPr>
      <w:r w:rsidRPr="00216521">
        <w:rPr>
          <w:lang w:val="es-PE"/>
        </w:rPr>
        <w:t xml:space="preserve">Huamán, Lizardo (2009). </w:t>
      </w:r>
      <w:r w:rsidRPr="00216521">
        <w:rPr>
          <w:i/>
          <w:lang w:val="es-PE"/>
        </w:rPr>
        <w:t>Herramientas de Gestión del campo de Recursos Humanos en Salud: Construcción  de Rectoría para la Gobernanza de la implementación del Aseguramiento Universal  y la Descentralización en Salud</w:t>
      </w:r>
      <w:r w:rsidRPr="00216521">
        <w:rPr>
          <w:lang w:val="es-PE"/>
        </w:rPr>
        <w:t xml:space="preserve">. </w:t>
      </w:r>
      <w:r w:rsidRPr="00216521">
        <w:rPr>
          <w:bCs/>
          <w:lang w:val="es-PE"/>
        </w:rPr>
        <w:t>Dirección General de Gestión del Desarrollo de Recursos Humanos MINSA</w:t>
      </w:r>
      <w:r w:rsidRPr="00216521">
        <w:rPr>
          <w:lang w:val="es-PE"/>
        </w:rPr>
        <w:t xml:space="preserve">. Dirección de Gestión de Capacidades en Salud. </w:t>
      </w:r>
    </w:p>
    <w:p w:rsidR="00353ED4" w:rsidRPr="00815FA1" w:rsidRDefault="00353ED4" w:rsidP="00E8674D">
      <w:pPr>
        <w:jc w:val="both"/>
      </w:pPr>
      <w:r w:rsidRPr="00216521">
        <w:rPr>
          <w:lang w:val="es-PE"/>
        </w:rPr>
        <w:t xml:space="preserve">MINSA (2009). </w:t>
      </w:r>
      <w:r w:rsidRPr="00216521">
        <w:rPr>
          <w:i/>
          <w:lang w:val="es-PE"/>
        </w:rPr>
        <w:t>SERUMS 2009 – Servicio Rural y Urbano Marginal de Salud</w:t>
      </w:r>
      <w:r w:rsidRPr="00216521">
        <w:rPr>
          <w:lang w:val="es-PE"/>
        </w:rPr>
        <w:t xml:space="preserve">. </w:t>
      </w:r>
      <w:r w:rsidRPr="00815FA1">
        <w:t xml:space="preserve">Peruvian Health Ministry’s website.  Retrieved on 15 of August, 2009 from: </w:t>
      </w:r>
      <w:hyperlink r:id="rId19" w:history="1">
        <w:r w:rsidRPr="00815FA1">
          <w:rPr>
            <w:rStyle w:val="Hipervnculo"/>
          </w:rPr>
          <w:t>http://www.minsa.gob.pe/servicios/serums/2009/default.asp</w:t>
        </w:r>
      </w:hyperlink>
      <w:r w:rsidRPr="00815FA1">
        <w:t xml:space="preserve"> </w:t>
      </w:r>
    </w:p>
    <w:p w:rsidR="00353ED4" w:rsidRPr="00216521" w:rsidRDefault="00353ED4" w:rsidP="00E8674D">
      <w:pPr>
        <w:spacing w:after="0"/>
        <w:jc w:val="both"/>
        <w:rPr>
          <w:rStyle w:val="apple-style-span"/>
          <w:color w:val="000000"/>
          <w:lang w:val="es-PE"/>
        </w:rPr>
      </w:pPr>
      <w:r w:rsidRPr="00815FA1">
        <w:rPr>
          <w:rStyle w:val="apple-style-span"/>
          <w:color w:val="000000"/>
        </w:rPr>
        <w:t>Petrera, Margarita and Seinfeld, Janice (2007).</w:t>
      </w:r>
      <w:r w:rsidRPr="00815FA1">
        <w:rPr>
          <w:rStyle w:val="apple-style-span"/>
          <w:color w:val="000000"/>
          <w:u w:val="single"/>
        </w:rPr>
        <w:t xml:space="preserve"> </w:t>
      </w:r>
      <w:r w:rsidRPr="00216521">
        <w:rPr>
          <w:rStyle w:val="apple-style-span"/>
          <w:color w:val="000000"/>
          <w:u w:val="single"/>
          <w:lang w:val="es-PE"/>
        </w:rPr>
        <w:t>Repensando la Salud en el Peru</w:t>
      </w:r>
      <w:r w:rsidRPr="00216521">
        <w:rPr>
          <w:rStyle w:val="apple-style-span"/>
          <w:color w:val="000000"/>
          <w:lang w:val="es-PE"/>
        </w:rPr>
        <w:t>. CIUP, Proyecto Amares. Lima.</w:t>
      </w:r>
    </w:p>
    <w:p w:rsidR="00353ED4" w:rsidRPr="00216521" w:rsidRDefault="00353ED4" w:rsidP="00A46D15">
      <w:pPr>
        <w:spacing w:after="0"/>
        <w:jc w:val="both"/>
        <w:rPr>
          <w:lang w:val="es-PE"/>
        </w:rPr>
      </w:pPr>
      <w:r w:rsidRPr="00216521">
        <w:rPr>
          <w:rStyle w:val="apple-style-span"/>
          <w:color w:val="000000"/>
          <w:lang w:val="es-PE"/>
        </w:rPr>
        <w:t>Román, José Antonio (2008)</w:t>
      </w:r>
      <w:r w:rsidRPr="00216521">
        <w:rPr>
          <w:rStyle w:val="apple-style-span"/>
          <w:caps/>
          <w:color w:val="000000"/>
          <w:lang w:val="es-PE"/>
        </w:rPr>
        <w:t xml:space="preserve">. </w:t>
      </w:r>
      <w:r w:rsidRPr="00216521">
        <w:rPr>
          <w:rStyle w:val="apple-style-span"/>
          <w:color w:val="000000"/>
          <w:lang w:val="es-PE"/>
        </w:rPr>
        <w:t>México duplica estándar de nacimientos por cesárea recomendados por la OMS</w:t>
      </w:r>
      <w:r w:rsidRPr="00216521">
        <w:rPr>
          <w:rStyle w:val="apple-style-span"/>
          <w:caps/>
          <w:color w:val="000000"/>
          <w:lang w:val="es-PE"/>
        </w:rPr>
        <w:t xml:space="preserve">. </w:t>
      </w:r>
      <w:r w:rsidRPr="00216521">
        <w:rPr>
          <w:rStyle w:val="apple-style-span"/>
          <w:color w:val="000000"/>
          <w:lang w:val="es-PE"/>
        </w:rPr>
        <w:t>La Jornada. México. May 9, 2008. Available in</w:t>
      </w:r>
      <w:r w:rsidRPr="00216521">
        <w:rPr>
          <w:rStyle w:val="apple-style-span"/>
          <w:caps/>
          <w:color w:val="000000"/>
          <w:lang w:val="es-PE"/>
        </w:rPr>
        <w:t>:</w:t>
      </w:r>
      <w:r w:rsidRPr="00216521">
        <w:rPr>
          <w:lang w:val="es-PE"/>
        </w:rPr>
        <w:t xml:space="preserve"> </w:t>
      </w:r>
    </w:p>
    <w:p w:rsidR="00353ED4" w:rsidRPr="00216521" w:rsidRDefault="00132204" w:rsidP="00A46D15">
      <w:pPr>
        <w:spacing w:before="0" w:after="0"/>
        <w:jc w:val="both"/>
        <w:rPr>
          <w:lang w:val="es-PE"/>
        </w:rPr>
      </w:pPr>
      <w:hyperlink r:id="rId20" w:history="1">
        <w:r w:rsidR="00353ED4" w:rsidRPr="00216521">
          <w:rPr>
            <w:rStyle w:val="Hipervnculo"/>
            <w:lang w:val="es-PE"/>
          </w:rPr>
          <w:t>http://www.jornada.unam.mx/2008/05/09/index.php?section=sociedad&amp;article=050n1soc</w:t>
        </w:r>
      </w:hyperlink>
    </w:p>
    <w:p w:rsidR="00353ED4" w:rsidRPr="00815FA1" w:rsidRDefault="00353ED4" w:rsidP="00FB5649">
      <w:r w:rsidRPr="00815FA1">
        <w:t xml:space="preserve">SDC (2004). Millenium </w:t>
      </w:r>
      <w:r w:rsidRPr="00815FA1">
        <w:rPr>
          <w:i/>
        </w:rPr>
        <w:t>Development Goals for Peru: Goal 5: Improving Maternal Care</w:t>
      </w:r>
      <w:r w:rsidRPr="00815FA1">
        <w:t xml:space="preserve">. Swiss Agency for Development and Cooperation. Available in: </w:t>
      </w:r>
      <w:hyperlink r:id="rId21" w:history="1">
        <w:r w:rsidRPr="00815FA1">
          <w:rPr>
            <w:rStyle w:val="Hipervnculo"/>
          </w:rPr>
          <w:t>http://www.cosude.org.pe/es/Pagina_principal/ressources/resource_es_24680.pdf</w:t>
        </w:r>
      </w:hyperlink>
    </w:p>
    <w:p w:rsidR="00353ED4" w:rsidRPr="00815FA1" w:rsidRDefault="00353ED4" w:rsidP="008740A2">
      <w:pPr>
        <w:jc w:val="both"/>
        <w:rPr>
          <w:rStyle w:val="Ttulo2Car"/>
          <w:b/>
          <w:sz w:val="22"/>
        </w:rPr>
      </w:pPr>
      <w:r w:rsidRPr="00815FA1">
        <w:t xml:space="preserve">UN (2008). </w:t>
      </w:r>
      <w:r w:rsidRPr="00815FA1">
        <w:rPr>
          <w:i/>
        </w:rPr>
        <w:t>The Millennium Development Goals Report: 2008</w:t>
      </w:r>
      <w:r w:rsidRPr="00815FA1">
        <w:t xml:space="preserve">. United Nations. Geneva, 2008. Available in: </w:t>
      </w:r>
      <w:hyperlink r:id="rId22" w:history="1">
        <w:r w:rsidRPr="00815FA1">
          <w:rPr>
            <w:rStyle w:val="Hipervnculo"/>
          </w:rPr>
          <w:t>http://www.un.org/millenniumgoals/2008highlevel/pdf/newsroom/mdg%20reports/MDG_Report_2008_ENGLISH.pdf</w:t>
        </w:r>
      </w:hyperlink>
    </w:p>
    <w:p w:rsidR="00353ED4" w:rsidRPr="00815FA1" w:rsidRDefault="00353ED4" w:rsidP="008740A2">
      <w:pPr>
        <w:jc w:val="both"/>
      </w:pPr>
      <w:r w:rsidRPr="00815FA1">
        <w:t xml:space="preserve">Seinfeld, Janice (2009). Recent trends on institutional birth services in Peru. World Bank report. Mimeo. </w:t>
      </w:r>
    </w:p>
    <w:p w:rsidR="00353ED4" w:rsidRPr="00815FA1" w:rsidRDefault="00353ED4" w:rsidP="008740A2">
      <w:pPr>
        <w:jc w:val="both"/>
      </w:pPr>
      <w:r w:rsidRPr="00815FA1">
        <w:t xml:space="preserve">WHO (2005). </w:t>
      </w:r>
      <w:r w:rsidRPr="00815FA1">
        <w:rPr>
          <w:rStyle w:val="apple-style-span"/>
          <w:i/>
        </w:rPr>
        <w:t>The world health report 2005 - make every mother and child count</w:t>
      </w:r>
      <w:r w:rsidRPr="00815FA1">
        <w:rPr>
          <w:i/>
        </w:rPr>
        <w:t xml:space="preserve">. </w:t>
      </w:r>
      <w:r w:rsidRPr="00815FA1">
        <w:t xml:space="preserve">World Health Organization. Geneva, 2005. Available in: </w:t>
      </w:r>
      <w:hyperlink r:id="rId23" w:history="1">
        <w:r w:rsidRPr="00815FA1">
          <w:rPr>
            <w:rStyle w:val="Hipervnculo"/>
          </w:rPr>
          <w:t>http://www.who.int/whr/2005/en/</w:t>
        </w:r>
      </w:hyperlink>
    </w:p>
    <w:p w:rsidR="00353ED4" w:rsidRPr="00216521" w:rsidRDefault="00353ED4" w:rsidP="008740A2">
      <w:pPr>
        <w:jc w:val="both"/>
        <w:rPr>
          <w:lang w:val="es-PE"/>
        </w:rPr>
      </w:pPr>
      <w:r w:rsidRPr="00815FA1">
        <w:t xml:space="preserve">MINSA / CIES (2008). National Accounting of Health 1995-2005. </w:t>
      </w:r>
      <w:r w:rsidRPr="00216521">
        <w:rPr>
          <w:lang w:val="es-PE"/>
        </w:rPr>
        <w:t>Observatorio de la Salud. Lima</w:t>
      </w:r>
    </w:p>
    <w:p w:rsidR="00353ED4" w:rsidRPr="00216521" w:rsidRDefault="00353ED4" w:rsidP="008A745E">
      <w:pPr>
        <w:jc w:val="both"/>
        <w:rPr>
          <w:b/>
          <w:lang w:val="es-PE"/>
        </w:rPr>
      </w:pPr>
      <w:r w:rsidRPr="00216521">
        <w:rPr>
          <w:b/>
          <w:lang w:val="es-PE"/>
        </w:rPr>
        <w:t>Data Sets</w:t>
      </w:r>
    </w:p>
    <w:p w:rsidR="00353ED4" w:rsidRPr="00815FA1" w:rsidRDefault="00353ED4" w:rsidP="00A46D15">
      <w:pPr>
        <w:pStyle w:val="Prrafodelista"/>
        <w:numPr>
          <w:ilvl w:val="0"/>
          <w:numId w:val="23"/>
        </w:numPr>
        <w:jc w:val="both"/>
      </w:pPr>
      <w:r w:rsidRPr="00815FA1">
        <w:t>Census of Population and Households, 2007</w:t>
      </w:r>
    </w:p>
    <w:p w:rsidR="00353ED4" w:rsidRPr="00815FA1" w:rsidRDefault="00353ED4" w:rsidP="00A46D15">
      <w:pPr>
        <w:pStyle w:val="Prrafodelista"/>
        <w:numPr>
          <w:ilvl w:val="0"/>
          <w:numId w:val="23"/>
        </w:numPr>
        <w:jc w:val="both"/>
      </w:pPr>
      <w:r w:rsidRPr="00815FA1">
        <w:t>ENAHO, 2007. INEI.</w:t>
      </w:r>
    </w:p>
    <w:p w:rsidR="00353ED4" w:rsidRPr="00815FA1" w:rsidRDefault="00353ED4" w:rsidP="00A46D15">
      <w:pPr>
        <w:pStyle w:val="Prrafodelista"/>
        <w:numPr>
          <w:ilvl w:val="0"/>
          <w:numId w:val="23"/>
        </w:numPr>
        <w:jc w:val="both"/>
      </w:pPr>
      <w:r w:rsidRPr="00815FA1">
        <w:t>ENDES Continua 2004-2007. INEI.</w:t>
      </w:r>
    </w:p>
    <w:p w:rsidR="00353ED4" w:rsidRPr="00815FA1" w:rsidRDefault="00353ED4" w:rsidP="00A46D15">
      <w:pPr>
        <w:pStyle w:val="Prrafodelista"/>
        <w:numPr>
          <w:ilvl w:val="0"/>
          <w:numId w:val="23"/>
        </w:numPr>
        <w:jc w:val="both"/>
      </w:pPr>
      <w:r w:rsidRPr="00815FA1">
        <w:t>FONCODES classification of district’s quintiles (District’s poverty map)</w:t>
      </w:r>
    </w:p>
    <w:p w:rsidR="00353ED4" w:rsidRPr="00815FA1" w:rsidRDefault="00353ED4" w:rsidP="00A46D15">
      <w:pPr>
        <w:pStyle w:val="Prrafodelista"/>
        <w:numPr>
          <w:ilvl w:val="0"/>
          <w:numId w:val="23"/>
        </w:numPr>
        <w:jc w:val="both"/>
      </w:pPr>
      <w:r w:rsidRPr="00815FA1">
        <w:t>MEF’s Physical Goals for the Programs of the Performance Based Budget (2008)</w:t>
      </w:r>
    </w:p>
    <w:p w:rsidR="00353ED4" w:rsidRPr="00815FA1" w:rsidRDefault="00353ED4" w:rsidP="00A46D15">
      <w:pPr>
        <w:pStyle w:val="Prrafodelista"/>
        <w:numPr>
          <w:ilvl w:val="0"/>
          <w:numId w:val="23"/>
        </w:numPr>
        <w:jc w:val="both"/>
      </w:pPr>
      <w:r w:rsidRPr="00815FA1">
        <w:t>MINSA’s data set on health establishments, 2006.</w:t>
      </w:r>
    </w:p>
    <w:p w:rsidR="00353ED4" w:rsidRPr="00815FA1" w:rsidRDefault="00353ED4" w:rsidP="00A46D15">
      <w:pPr>
        <w:pStyle w:val="Prrafodelista"/>
        <w:numPr>
          <w:ilvl w:val="0"/>
          <w:numId w:val="23"/>
        </w:numPr>
        <w:jc w:val="both"/>
      </w:pPr>
      <w:r w:rsidRPr="00815FA1">
        <w:t>MINSA’s data set on health human resources, 2006 and 2007</w:t>
      </w:r>
    </w:p>
    <w:p w:rsidR="00353ED4" w:rsidRPr="00815FA1" w:rsidRDefault="00353ED4" w:rsidP="008740A2">
      <w:pPr>
        <w:jc w:val="both"/>
      </w:pPr>
    </w:p>
    <w:p w:rsidR="00353ED4" w:rsidRPr="00815FA1" w:rsidRDefault="00353ED4" w:rsidP="001E2B47">
      <w:pPr>
        <w:rPr>
          <w:rStyle w:val="apple-style-span"/>
          <w:b/>
        </w:rPr>
      </w:pPr>
      <w:r w:rsidRPr="00815FA1">
        <w:rPr>
          <w:rStyle w:val="apple-style-span"/>
          <w:b/>
        </w:rPr>
        <w:br w:type="page"/>
      </w:r>
    </w:p>
    <w:p w:rsidR="00353ED4" w:rsidRPr="00815FA1" w:rsidRDefault="00353ED4" w:rsidP="008937E1">
      <w:pPr>
        <w:pStyle w:val="Ttulo1"/>
        <w:numPr>
          <w:ilvl w:val="0"/>
          <w:numId w:val="28"/>
        </w:numPr>
        <w:ind w:left="284" w:hanging="295"/>
        <w:rPr>
          <w:rStyle w:val="apple-style-span"/>
        </w:rPr>
      </w:pPr>
      <w:bookmarkStart w:id="96" w:name="_Toc254270049"/>
      <w:r w:rsidRPr="00815FA1">
        <w:rPr>
          <w:rStyle w:val="apple-style-span"/>
        </w:rPr>
        <w:t>Appendixes</w:t>
      </w:r>
      <w:bookmarkEnd w:id="96"/>
    </w:p>
    <w:p w:rsidR="00353ED4" w:rsidRPr="00815FA1" w:rsidRDefault="00353ED4">
      <w:pPr>
        <w:spacing w:before="0" w:after="0" w:line="240" w:lineRule="auto"/>
        <w:rPr>
          <w:rStyle w:val="apple-style-span"/>
          <w:b/>
        </w:rPr>
      </w:pPr>
    </w:p>
    <w:p w:rsidR="00353ED4" w:rsidRPr="00815FA1" w:rsidRDefault="00353ED4" w:rsidP="008937E1">
      <w:pPr>
        <w:pStyle w:val="Ttulo2"/>
        <w:numPr>
          <w:ilvl w:val="3"/>
          <w:numId w:val="9"/>
        </w:numPr>
        <w:ind w:left="426"/>
        <w:rPr>
          <w:rStyle w:val="apple-style-span"/>
          <w:b/>
        </w:rPr>
      </w:pPr>
      <w:bookmarkStart w:id="97" w:name="_Toc254270050"/>
      <w:r w:rsidRPr="00815FA1">
        <w:rPr>
          <w:rStyle w:val="apple-style-span"/>
          <w:b/>
        </w:rPr>
        <w:t>Appendix 1 - Obstetric and Neonatal Functions specifications</w:t>
      </w:r>
      <w:bookmarkEnd w:id="97"/>
      <w:r w:rsidRPr="00815FA1">
        <w:rPr>
          <w:rStyle w:val="apple-style-span"/>
          <w:b/>
        </w:rPr>
        <w:t xml:space="preserve"> </w:t>
      </w:r>
    </w:p>
    <w:p w:rsidR="00353ED4" w:rsidRPr="00815FA1" w:rsidRDefault="00353ED4" w:rsidP="008740A2">
      <w:pPr>
        <w:jc w:val="both"/>
        <w:rPr>
          <w:b/>
        </w:rPr>
      </w:pPr>
      <w:r w:rsidRPr="00815FA1">
        <w:rPr>
          <w:b/>
        </w:rPr>
        <w:t>Obstetric and Neonatal Functions (FON)</w:t>
      </w:r>
    </w:p>
    <w:p w:rsidR="00353ED4" w:rsidRPr="00815FA1" w:rsidRDefault="00353ED4" w:rsidP="008740A2">
      <w:pPr>
        <w:jc w:val="both"/>
      </w:pPr>
      <w:r w:rsidRPr="00815FA1">
        <w:t>FON are activities related with identifying, attending, monitoring and care of gestation, delivery and of the newborn’s health, according to the level of complexity of health establishments and to the role these accomplish in local health system. They are typified as following:</w:t>
      </w:r>
    </w:p>
    <w:p w:rsidR="00353ED4" w:rsidRPr="00815FA1" w:rsidRDefault="00353ED4" w:rsidP="008740A2">
      <w:pPr>
        <w:jc w:val="both"/>
      </w:pPr>
    </w:p>
    <w:p w:rsidR="00353ED4" w:rsidRPr="00815FA1" w:rsidRDefault="00353ED4" w:rsidP="008740A2">
      <w:pPr>
        <w:jc w:val="both"/>
        <w:rPr>
          <w:b/>
        </w:rPr>
      </w:pPr>
      <w:r w:rsidRPr="00815FA1">
        <w:rPr>
          <w:b/>
        </w:rPr>
        <w:t>Primary Obstetric and Neonatal Functions (FONP)</w:t>
      </w:r>
    </w:p>
    <w:p w:rsidR="00353ED4" w:rsidRPr="00815FA1" w:rsidRDefault="00353ED4" w:rsidP="008740A2">
      <w:pPr>
        <w:jc w:val="both"/>
      </w:pPr>
      <w:r w:rsidRPr="00815FA1">
        <w:t>They comprehend activities in the maternal, perinatal and birth control that can be done by establishments that count with health technical staff and that may or may not count with health professionals. These health establishments generally give 12 hours attention and eventually 24 hours, they don’t have a delivery room, laboratory, newborn immediate attention area or hospitalization area (they are mostly health posts)</w:t>
      </w:r>
    </w:p>
    <w:p w:rsidR="00353ED4" w:rsidRPr="00815FA1" w:rsidRDefault="00353ED4" w:rsidP="008740A2">
      <w:pPr>
        <w:jc w:val="both"/>
      </w:pPr>
      <w:r w:rsidRPr="00815FA1">
        <w:t>Those activities are:</w:t>
      </w:r>
    </w:p>
    <w:p w:rsidR="00353ED4" w:rsidRPr="00815FA1" w:rsidRDefault="00353ED4" w:rsidP="009477F2">
      <w:pPr>
        <w:numPr>
          <w:ilvl w:val="0"/>
          <w:numId w:val="24"/>
        </w:numPr>
        <w:jc w:val="both"/>
      </w:pPr>
      <w:r w:rsidRPr="00815FA1">
        <w:t>Basic prenatal and birth control attention.</w:t>
      </w:r>
    </w:p>
    <w:p w:rsidR="00353ED4" w:rsidRPr="00815FA1" w:rsidRDefault="00353ED4" w:rsidP="009477F2">
      <w:pPr>
        <w:numPr>
          <w:ilvl w:val="0"/>
          <w:numId w:val="24"/>
        </w:numPr>
        <w:jc w:val="both"/>
      </w:pPr>
      <w:r w:rsidRPr="00815FA1">
        <w:t>Imminent delivery and basic attention of the vigorous newborn.</w:t>
      </w:r>
    </w:p>
    <w:p w:rsidR="00353ED4" w:rsidRPr="00815FA1" w:rsidRDefault="00353ED4" w:rsidP="009477F2">
      <w:pPr>
        <w:numPr>
          <w:ilvl w:val="0"/>
          <w:numId w:val="24"/>
        </w:numPr>
        <w:jc w:val="both"/>
      </w:pPr>
      <w:r w:rsidRPr="00815FA1">
        <w:t>Identification and timely transfer of pregnant and puerperian women, and of complicated newborns.</w:t>
      </w:r>
    </w:p>
    <w:p w:rsidR="00353ED4" w:rsidRPr="00815FA1" w:rsidRDefault="00353ED4" w:rsidP="009477F2">
      <w:pPr>
        <w:numPr>
          <w:ilvl w:val="0"/>
          <w:numId w:val="24"/>
        </w:numPr>
        <w:jc w:val="both"/>
      </w:pPr>
      <w:r w:rsidRPr="00815FA1">
        <w:t>Obstetric and neonatal emergencies (DST)</w:t>
      </w:r>
      <w:r w:rsidRPr="00815FA1">
        <w:rPr>
          <w:rStyle w:val="Refdenotaalpie"/>
        </w:rPr>
        <w:footnoteReference w:id="21"/>
      </w:r>
      <w:r w:rsidRPr="00815FA1">
        <w:t>.</w:t>
      </w:r>
    </w:p>
    <w:p w:rsidR="00353ED4" w:rsidRPr="00815FA1" w:rsidRDefault="00353ED4" w:rsidP="009477F2">
      <w:pPr>
        <w:numPr>
          <w:ilvl w:val="0"/>
          <w:numId w:val="24"/>
        </w:numPr>
        <w:jc w:val="both"/>
      </w:pPr>
      <w:r w:rsidRPr="00815FA1">
        <w:t>Post-delivery birth control (orientation/council, provision of barrier, hormonal, oral or injectable methods- transfers should be made for other methods)</w:t>
      </w:r>
    </w:p>
    <w:p w:rsidR="00353ED4" w:rsidRPr="00815FA1" w:rsidRDefault="00353ED4" w:rsidP="008740A2">
      <w:pPr>
        <w:jc w:val="both"/>
        <w:rPr>
          <w:b/>
        </w:rPr>
      </w:pPr>
      <w:r w:rsidRPr="00815FA1">
        <w:rPr>
          <w:b/>
        </w:rPr>
        <w:t>Basic Obstetric and Neonatal Functions (FONB)</w:t>
      </w:r>
    </w:p>
    <w:p w:rsidR="00353ED4" w:rsidRPr="00815FA1" w:rsidRDefault="00353ED4" w:rsidP="008740A2">
      <w:pPr>
        <w:jc w:val="both"/>
      </w:pPr>
      <w:r w:rsidRPr="00815FA1">
        <w:t>Comprehend activities in the maternal and perinatal interventions that must be done by all health establishments that count with medical professional staff; obstetrician and nurse. These health establishments generally bring 24 hours attention and have a delivery room, laboratory, newborn immediate attention area and hospitalization area; they don’t have surgical centers. (Mostly Health Centers)</w:t>
      </w:r>
    </w:p>
    <w:p w:rsidR="00353ED4" w:rsidRPr="00815FA1" w:rsidRDefault="00353ED4" w:rsidP="008740A2">
      <w:pPr>
        <w:jc w:val="both"/>
      </w:pPr>
    </w:p>
    <w:p w:rsidR="00353ED4" w:rsidRPr="00815FA1" w:rsidRDefault="00353ED4" w:rsidP="008740A2">
      <w:pPr>
        <w:jc w:val="both"/>
      </w:pPr>
      <w:r w:rsidRPr="00815FA1">
        <w:t>Those activities are:</w:t>
      </w:r>
    </w:p>
    <w:p w:rsidR="00353ED4" w:rsidRPr="00815FA1" w:rsidRDefault="00353ED4" w:rsidP="0093616D">
      <w:pPr>
        <w:numPr>
          <w:ilvl w:val="0"/>
          <w:numId w:val="25"/>
        </w:numPr>
        <w:spacing w:line="240" w:lineRule="auto"/>
        <w:ind w:left="714" w:hanging="357"/>
        <w:jc w:val="both"/>
      </w:pPr>
      <w:r w:rsidRPr="00815FA1">
        <w:t>Prenatal focalized attention and birth control.</w:t>
      </w:r>
    </w:p>
    <w:p w:rsidR="00353ED4" w:rsidRPr="00815FA1" w:rsidRDefault="00353ED4" w:rsidP="0093616D">
      <w:pPr>
        <w:numPr>
          <w:ilvl w:val="0"/>
          <w:numId w:val="25"/>
        </w:numPr>
        <w:spacing w:line="240" w:lineRule="auto"/>
        <w:ind w:left="714" w:hanging="357"/>
        <w:jc w:val="both"/>
      </w:pPr>
      <w:r w:rsidRPr="00815FA1">
        <w:t>Eutocic delivery and basic normal or with minor problems newborn attention.</w:t>
      </w:r>
    </w:p>
    <w:p w:rsidR="00353ED4" w:rsidRPr="00815FA1" w:rsidRDefault="00353ED4" w:rsidP="0093616D">
      <w:pPr>
        <w:numPr>
          <w:ilvl w:val="0"/>
          <w:numId w:val="25"/>
        </w:numPr>
        <w:spacing w:line="240" w:lineRule="auto"/>
        <w:ind w:left="714" w:hanging="357"/>
        <w:jc w:val="both"/>
      </w:pPr>
      <w:r w:rsidRPr="00815FA1">
        <w:t>Dystocic delivery or complicated delivery (DST).</w:t>
      </w:r>
    </w:p>
    <w:p w:rsidR="00353ED4" w:rsidRPr="00815FA1" w:rsidRDefault="00353ED4" w:rsidP="0093616D">
      <w:pPr>
        <w:numPr>
          <w:ilvl w:val="0"/>
          <w:numId w:val="25"/>
        </w:numPr>
        <w:spacing w:line="240" w:lineRule="auto"/>
        <w:ind w:left="714" w:hanging="357"/>
        <w:jc w:val="both"/>
      </w:pPr>
      <w:r w:rsidRPr="00815FA1">
        <w:t>Newborn with complications (DST)</w:t>
      </w:r>
    </w:p>
    <w:p w:rsidR="00353ED4" w:rsidRPr="00815FA1" w:rsidRDefault="00353ED4" w:rsidP="0093616D">
      <w:pPr>
        <w:numPr>
          <w:ilvl w:val="0"/>
          <w:numId w:val="25"/>
        </w:numPr>
        <w:spacing w:line="240" w:lineRule="auto"/>
        <w:ind w:left="714" w:hanging="357"/>
        <w:jc w:val="both"/>
      </w:pPr>
      <w:r w:rsidRPr="00815FA1">
        <w:t>Not complicated placenta retention.</w:t>
      </w:r>
    </w:p>
    <w:p w:rsidR="00353ED4" w:rsidRPr="00815FA1" w:rsidRDefault="00353ED4" w:rsidP="0093616D">
      <w:pPr>
        <w:numPr>
          <w:ilvl w:val="0"/>
          <w:numId w:val="25"/>
        </w:numPr>
        <w:spacing w:line="240" w:lineRule="auto"/>
        <w:ind w:left="714" w:hanging="357"/>
        <w:jc w:val="both"/>
      </w:pPr>
      <w:r w:rsidRPr="00815FA1">
        <w:t>Complicated placenta retention (DST).</w:t>
      </w:r>
    </w:p>
    <w:p w:rsidR="00353ED4" w:rsidRPr="00815FA1" w:rsidRDefault="00353ED4" w:rsidP="0093616D">
      <w:pPr>
        <w:numPr>
          <w:ilvl w:val="0"/>
          <w:numId w:val="25"/>
        </w:numPr>
        <w:spacing w:line="240" w:lineRule="auto"/>
        <w:ind w:left="714" w:hanging="357"/>
        <w:jc w:val="both"/>
      </w:pPr>
      <w:r w:rsidRPr="00815FA1">
        <w:t>Pregnancy induced slight hypertension.</w:t>
      </w:r>
    </w:p>
    <w:p w:rsidR="00353ED4" w:rsidRPr="00815FA1" w:rsidRDefault="00353ED4" w:rsidP="0093616D">
      <w:pPr>
        <w:numPr>
          <w:ilvl w:val="0"/>
          <w:numId w:val="25"/>
        </w:numPr>
        <w:spacing w:line="240" w:lineRule="auto"/>
        <w:ind w:left="714" w:hanging="357"/>
        <w:jc w:val="both"/>
      </w:pPr>
      <w:r w:rsidRPr="00815FA1">
        <w:t>Pregnancy induced severe hypertension (DST).</w:t>
      </w:r>
    </w:p>
    <w:p w:rsidR="00353ED4" w:rsidRPr="00815FA1" w:rsidRDefault="00353ED4" w:rsidP="0093616D">
      <w:pPr>
        <w:numPr>
          <w:ilvl w:val="0"/>
          <w:numId w:val="25"/>
        </w:numPr>
        <w:spacing w:line="240" w:lineRule="auto"/>
        <w:ind w:left="714" w:hanging="357"/>
        <w:jc w:val="both"/>
      </w:pPr>
      <w:r w:rsidRPr="00815FA1">
        <w:t>Slight hemorrhage.</w:t>
      </w:r>
    </w:p>
    <w:p w:rsidR="00353ED4" w:rsidRPr="00815FA1" w:rsidRDefault="00353ED4" w:rsidP="0093616D">
      <w:pPr>
        <w:numPr>
          <w:ilvl w:val="0"/>
          <w:numId w:val="25"/>
        </w:numPr>
        <w:spacing w:line="240" w:lineRule="auto"/>
        <w:ind w:left="714" w:hanging="357"/>
        <w:jc w:val="both"/>
      </w:pPr>
      <w:r w:rsidRPr="00815FA1">
        <w:t>Severe hemorrhage and hypovolemic shock (DST).</w:t>
      </w:r>
    </w:p>
    <w:p w:rsidR="00353ED4" w:rsidRPr="00815FA1" w:rsidRDefault="00353ED4" w:rsidP="0093616D">
      <w:pPr>
        <w:numPr>
          <w:ilvl w:val="0"/>
          <w:numId w:val="25"/>
        </w:numPr>
        <w:spacing w:line="240" w:lineRule="auto"/>
        <w:ind w:left="714" w:hanging="357"/>
        <w:jc w:val="both"/>
      </w:pPr>
      <w:r w:rsidRPr="00815FA1">
        <w:t>Maternal or neonatal sepsis (DST).</w:t>
      </w:r>
    </w:p>
    <w:p w:rsidR="00353ED4" w:rsidRPr="00815FA1" w:rsidRDefault="00353ED4" w:rsidP="0093616D">
      <w:pPr>
        <w:numPr>
          <w:ilvl w:val="0"/>
          <w:numId w:val="25"/>
        </w:numPr>
        <w:spacing w:line="240" w:lineRule="auto"/>
        <w:ind w:left="714" w:hanging="357"/>
        <w:jc w:val="both"/>
      </w:pPr>
      <w:r w:rsidRPr="00815FA1">
        <w:t>Incomplete abortion (DST)</w:t>
      </w:r>
      <w:r w:rsidRPr="00815FA1">
        <w:rPr>
          <w:rStyle w:val="Refdenotaalpie"/>
        </w:rPr>
        <w:t xml:space="preserve"> </w:t>
      </w:r>
      <w:r w:rsidRPr="00815FA1">
        <w:rPr>
          <w:rStyle w:val="Refdenotaalpie"/>
        </w:rPr>
        <w:footnoteReference w:id="22"/>
      </w:r>
      <w:r w:rsidRPr="00815FA1">
        <w:t>.</w:t>
      </w:r>
    </w:p>
    <w:p w:rsidR="00353ED4" w:rsidRPr="00815FA1" w:rsidRDefault="00353ED4" w:rsidP="0093616D">
      <w:pPr>
        <w:numPr>
          <w:ilvl w:val="0"/>
          <w:numId w:val="25"/>
        </w:numPr>
        <w:spacing w:line="240" w:lineRule="auto"/>
        <w:ind w:left="714" w:hanging="357"/>
        <w:jc w:val="both"/>
      </w:pPr>
      <w:r w:rsidRPr="00815FA1">
        <w:t>Vaginal tear level I and II.</w:t>
      </w:r>
    </w:p>
    <w:p w:rsidR="00353ED4" w:rsidRPr="00815FA1" w:rsidRDefault="00353ED4" w:rsidP="0093616D">
      <w:pPr>
        <w:numPr>
          <w:ilvl w:val="0"/>
          <w:numId w:val="25"/>
        </w:numPr>
        <w:spacing w:line="240" w:lineRule="auto"/>
        <w:ind w:left="714" w:hanging="357"/>
        <w:jc w:val="both"/>
      </w:pPr>
      <w:r w:rsidRPr="00815FA1">
        <w:t>Vaginal tear level II and IV (DST).</w:t>
      </w:r>
    </w:p>
    <w:p w:rsidR="00353ED4" w:rsidRPr="00815FA1" w:rsidRDefault="00353ED4" w:rsidP="0093616D">
      <w:pPr>
        <w:numPr>
          <w:ilvl w:val="0"/>
          <w:numId w:val="25"/>
        </w:numPr>
        <w:spacing w:line="240" w:lineRule="auto"/>
        <w:ind w:left="714" w:hanging="357"/>
        <w:jc w:val="both"/>
      </w:pPr>
      <w:r w:rsidRPr="00815FA1">
        <w:t>Repair of cervix tear.</w:t>
      </w:r>
    </w:p>
    <w:p w:rsidR="00353ED4" w:rsidRPr="00815FA1" w:rsidRDefault="00353ED4" w:rsidP="0093616D">
      <w:pPr>
        <w:numPr>
          <w:ilvl w:val="0"/>
          <w:numId w:val="25"/>
        </w:numPr>
        <w:spacing w:line="240" w:lineRule="auto"/>
        <w:ind w:left="714" w:hanging="357"/>
        <w:jc w:val="both"/>
      </w:pPr>
      <w:r w:rsidRPr="00815FA1">
        <w:t>Obstetric surgery (DST).</w:t>
      </w:r>
    </w:p>
    <w:p w:rsidR="00353ED4" w:rsidRPr="00815FA1" w:rsidRDefault="00353ED4" w:rsidP="0093616D">
      <w:pPr>
        <w:numPr>
          <w:ilvl w:val="0"/>
          <w:numId w:val="25"/>
        </w:numPr>
        <w:spacing w:line="240" w:lineRule="auto"/>
        <w:ind w:left="714" w:hanging="357"/>
        <w:jc w:val="both"/>
      </w:pPr>
      <w:r w:rsidRPr="00815FA1">
        <w:t>Post-delivery / post abortion birth control (orientation/council, provision of barrier, hormonal, oral or injectable methods and DIU- transfers should be made for other methods)</w:t>
      </w:r>
    </w:p>
    <w:p w:rsidR="00353ED4" w:rsidRPr="00815FA1" w:rsidRDefault="00353ED4" w:rsidP="008A745E">
      <w:pPr>
        <w:jc w:val="both"/>
        <w:rPr>
          <w:b/>
        </w:rPr>
      </w:pPr>
      <w:r w:rsidRPr="00815FA1">
        <w:rPr>
          <w:b/>
        </w:rPr>
        <w:t>Essential Obstetric and Neonatal Functions (FONE)</w:t>
      </w:r>
    </w:p>
    <w:p w:rsidR="00353ED4" w:rsidRPr="00815FA1" w:rsidRDefault="00353ED4" w:rsidP="008740A2">
      <w:pPr>
        <w:jc w:val="both"/>
      </w:pPr>
      <w:r w:rsidRPr="00815FA1">
        <w:t>Comprehend activities in the maternal and perinatal interventions that must be done by all health establishments that count with specialized professional staff in gynecologic-obstetrics; pediatrics, surgery, anesthesiology, interns and other specialties such as neonatal nursing. These health establishments generally bring 24 hours specialized attention and have a delivery room, laboratory, newborn immediate attention area, hospitalization area and surgical centers. (Mostly Hospitals)</w:t>
      </w:r>
    </w:p>
    <w:p w:rsidR="00353ED4" w:rsidRPr="00815FA1" w:rsidRDefault="00353ED4" w:rsidP="008740A2">
      <w:pPr>
        <w:jc w:val="both"/>
      </w:pPr>
      <w:r w:rsidRPr="00815FA1">
        <w:t>Those activities are:</w:t>
      </w:r>
    </w:p>
    <w:p w:rsidR="00353ED4" w:rsidRPr="00815FA1" w:rsidRDefault="00353ED4" w:rsidP="009477F2">
      <w:pPr>
        <w:numPr>
          <w:ilvl w:val="0"/>
          <w:numId w:val="26"/>
        </w:numPr>
        <w:jc w:val="both"/>
      </w:pPr>
      <w:r w:rsidRPr="00815FA1">
        <w:t>Prenatal focalized attention and birth control.</w:t>
      </w:r>
    </w:p>
    <w:p w:rsidR="00353ED4" w:rsidRPr="00815FA1" w:rsidRDefault="00353ED4" w:rsidP="009477F2">
      <w:pPr>
        <w:numPr>
          <w:ilvl w:val="0"/>
          <w:numId w:val="26"/>
        </w:numPr>
        <w:jc w:val="both"/>
      </w:pPr>
      <w:r w:rsidRPr="00815FA1">
        <w:t>Dystocic delivery or complicated delivery (DST).</w:t>
      </w:r>
    </w:p>
    <w:p w:rsidR="00353ED4" w:rsidRPr="00815FA1" w:rsidRDefault="00353ED4" w:rsidP="009477F2">
      <w:pPr>
        <w:numPr>
          <w:ilvl w:val="0"/>
          <w:numId w:val="26"/>
        </w:numPr>
        <w:jc w:val="both"/>
      </w:pPr>
      <w:r w:rsidRPr="00815FA1">
        <w:t>Newborn with complications.</w:t>
      </w:r>
    </w:p>
    <w:p w:rsidR="00353ED4" w:rsidRPr="00815FA1" w:rsidRDefault="00353ED4" w:rsidP="009477F2">
      <w:pPr>
        <w:numPr>
          <w:ilvl w:val="0"/>
          <w:numId w:val="26"/>
        </w:numPr>
        <w:jc w:val="both"/>
      </w:pPr>
      <w:r w:rsidRPr="00815FA1">
        <w:t>Complicated placenta retention.</w:t>
      </w:r>
    </w:p>
    <w:p w:rsidR="00353ED4" w:rsidRPr="00815FA1" w:rsidRDefault="00353ED4" w:rsidP="009477F2">
      <w:pPr>
        <w:numPr>
          <w:ilvl w:val="0"/>
          <w:numId w:val="26"/>
        </w:numPr>
        <w:jc w:val="both"/>
      </w:pPr>
      <w:r w:rsidRPr="00815FA1">
        <w:t>Incomplete abortion.</w:t>
      </w:r>
    </w:p>
    <w:p w:rsidR="00353ED4" w:rsidRPr="00815FA1" w:rsidRDefault="00353ED4" w:rsidP="009477F2">
      <w:pPr>
        <w:numPr>
          <w:ilvl w:val="0"/>
          <w:numId w:val="26"/>
        </w:numPr>
        <w:jc w:val="both"/>
      </w:pPr>
      <w:r w:rsidRPr="00815FA1">
        <w:t>Pregnancy induced moderate-severe hypertension and eclampsia.</w:t>
      </w:r>
    </w:p>
    <w:p w:rsidR="00353ED4" w:rsidRPr="00815FA1" w:rsidRDefault="00353ED4" w:rsidP="009477F2">
      <w:pPr>
        <w:numPr>
          <w:ilvl w:val="0"/>
          <w:numId w:val="26"/>
        </w:numPr>
        <w:jc w:val="both"/>
      </w:pPr>
      <w:r w:rsidRPr="00815FA1">
        <w:t>Severe hemorrhage and hypovolemic shock.</w:t>
      </w:r>
    </w:p>
    <w:p w:rsidR="00353ED4" w:rsidRPr="00815FA1" w:rsidRDefault="00353ED4" w:rsidP="009477F2">
      <w:pPr>
        <w:numPr>
          <w:ilvl w:val="0"/>
          <w:numId w:val="26"/>
        </w:numPr>
        <w:jc w:val="both"/>
      </w:pPr>
      <w:r w:rsidRPr="00815FA1">
        <w:t>Maternal or neonatal sepsis.</w:t>
      </w:r>
    </w:p>
    <w:p w:rsidR="00353ED4" w:rsidRPr="00815FA1" w:rsidRDefault="00353ED4" w:rsidP="009477F2">
      <w:pPr>
        <w:numPr>
          <w:ilvl w:val="0"/>
          <w:numId w:val="26"/>
        </w:numPr>
        <w:jc w:val="both"/>
      </w:pPr>
      <w:r w:rsidRPr="00815FA1">
        <w:t>Vaginal tear level II and IV.</w:t>
      </w:r>
    </w:p>
    <w:p w:rsidR="00353ED4" w:rsidRPr="00815FA1" w:rsidRDefault="00353ED4" w:rsidP="009477F2">
      <w:pPr>
        <w:numPr>
          <w:ilvl w:val="0"/>
          <w:numId w:val="26"/>
        </w:numPr>
        <w:jc w:val="both"/>
      </w:pPr>
      <w:r w:rsidRPr="00815FA1">
        <w:t>Cesarean</w:t>
      </w:r>
    </w:p>
    <w:p w:rsidR="00353ED4" w:rsidRPr="00815FA1" w:rsidRDefault="00353ED4" w:rsidP="009477F2">
      <w:pPr>
        <w:numPr>
          <w:ilvl w:val="0"/>
          <w:numId w:val="26"/>
        </w:numPr>
        <w:jc w:val="both"/>
      </w:pPr>
      <w:r w:rsidRPr="00815FA1">
        <w:t>Laparotomy</w:t>
      </w:r>
    </w:p>
    <w:p w:rsidR="00353ED4" w:rsidRPr="00815FA1" w:rsidRDefault="00353ED4" w:rsidP="009477F2">
      <w:pPr>
        <w:numPr>
          <w:ilvl w:val="0"/>
          <w:numId w:val="26"/>
        </w:numPr>
        <w:jc w:val="both"/>
      </w:pPr>
      <w:r w:rsidRPr="00815FA1">
        <w:t>Abdominal Hysterectomy.</w:t>
      </w:r>
    </w:p>
    <w:p w:rsidR="00353ED4" w:rsidRPr="00815FA1" w:rsidRDefault="00353ED4" w:rsidP="009477F2">
      <w:pPr>
        <w:numPr>
          <w:ilvl w:val="0"/>
          <w:numId w:val="26"/>
        </w:numPr>
        <w:jc w:val="both"/>
      </w:pPr>
      <w:r w:rsidRPr="00815FA1">
        <w:t>Not complicated surgical neonatal pathology.</w:t>
      </w:r>
    </w:p>
    <w:p w:rsidR="00353ED4" w:rsidRPr="00815FA1" w:rsidRDefault="00353ED4" w:rsidP="009477F2">
      <w:pPr>
        <w:numPr>
          <w:ilvl w:val="0"/>
          <w:numId w:val="26"/>
        </w:numPr>
        <w:jc w:val="both"/>
      </w:pPr>
      <w:r w:rsidRPr="00815FA1">
        <w:t>Post-delivery / post abortion birth control (orientation/council, provision of all methods, including voluntary surgical birth control).</w:t>
      </w:r>
    </w:p>
    <w:p w:rsidR="00353ED4" w:rsidRPr="00815FA1" w:rsidRDefault="00353ED4" w:rsidP="008A745E">
      <w:pPr>
        <w:jc w:val="both"/>
        <w:rPr>
          <w:b/>
        </w:rPr>
      </w:pPr>
      <w:r w:rsidRPr="00815FA1">
        <w:rPr>
          <w:b/>
        </w:rPr>
        <w:t>Intensive Obstetric and Neonatal Functions (FONI)</w:t>
      </w:r>
    </w:p>
    <w:p w:rsidR="00353ED4" w:rsidRPr="00815FA1" w:rsidRDefault="00353ED4" w:rsidP="008740A2">
      <w:pPr>
        <w:jc w:val="both"/>
      </w:pPr>
      <w:r w:rsidRPr="00815FA1">
        <w:t xml:space="preserve">Comprehend activities in the maternal and perinatal interventions that must be done by all health establishments that count with specialized professional staff in gynecologic-obstetrics; pediatrics, surgery, anesthesiology, interns, intensivists and other specialties such as neonatal nursing. These health establishments bring 24 hours specialized attention and have a delivery room, laboratory, newborn immediate attention area, hospitalization area, surgical centers and have an </w:t>
      </w:r>
      <w:r w:rsidRPr="00815FA1">
        <w:rPr>
          <w:i/>
        </w:rPr>
        <w:t>Intensive Care Unit</w:t>
      </w:r>
      <w:r w:rsidRPr="00815FA1">
        <w:t xml:space="preserve"> (ICU) implemented.</w:t>
      </w:r>
    </w:p>
    <w:p w:rsidR="00353ED4" w:rsidRPr="00815FA1" w:rsidRDefault="00353ED4" w:rsidP="008740A2">
      <w:pPr>
        <w:jc w:val="both"/>
      </w:pPr>
      <w:r w:rsidRPr="00815FA1">
        <w:t>Those activities are:</w:t>
      </w:r>
    </w:p>
    <w:p w:rsidR="00353ED4" w:rsidRPr="00815FA1" w:rsidRDefault="00353ED4" w:rsidP="009477F2">
      <w:pPr>
        <w:numPr>
          <w:ilvl w:val="0"/>
          <w:numId w:val="27"/>
        </w:numPr>
        <w:jc w:val="both"/>
      </w:pPr>
      <w:r w:rsidRPr="00815FA1">
        <w:t>Prenatal intensive re-focalized attention (APRI).</w:t>
      </w:r>
    </w:p>
    <w:p w:rsidR="00353ED4" w:rsidRPr="00815FA1" w:rsidRDefault="00353ED4" w:rsidP="009477F2">
      <w:pPr>
        <w:numPr>
          <w:ilvl w:val="0"/>
          <w:numId w:val="27"/>
        </w:numPr>
        <w:jc w:val="both"/>
      </w:pPr>
      <w:r w:rsidRPr="00815FA1">
        <w:t>Delivery of women with APRI.</w:t>
      </w:r>
    </w:p>
    <w:p w:rsidR="00353ED4" w:rsidRPr="00815FA1" w:rsidRDefault="00353ED4" w:rsidP="009477F2">
      <w:pPr>
        <w:numPr>
          <w:ilvl w:val="0"/>
          <w:numId w:val="27"/>
        </w:numPr>
        <w:jc w:val="both"/>
      </w:pPr>
      <w:r w:rsidRPr="00815FA1">
        <w:t>Newborn with complications requiring ICU.</w:t>
      </w:r>
    </w:p>
    <w:p w:rsidR="00353ED4" w:rsidRPr="00815FA1" w:rsidRDefault="00353ED4" w:rsidP="009477F2">
      <w:pPr>
        <w:numPr>
          <w:ilvl w:val="0"/>
          <w:numId w:val="27"/>
        </w:numPr>
        <w:jc w:val="both"/>
      </w:pPr>
      <w:r w:rsidRPr="00815FA1">
        <w:t>Complicated incomplete abortion.</w:t>
      </w:r>
    </w:p>
    <w:p w:rsidR="00353ED4" w:rsidRPr="00815FA1" w:rsidRDefault="00353ED4" w:rsidP="009477F2">
      <w:pPr>
        <w:numPr>
          <w:ilvl w:val="0"/>
          <w:numId w:val="27"/>
        </w:numPr>
        <w:jc w:val="both"/>
      </w:pPr>
      <w:r w:rsidRPr="00815FA1">
        <w:t>Hypertension induced by delivery, HELLP syndrome attended in ICU.</w:t>
      </w:r>
    </w:p>
    <w:p w:rsidR="00353ED4" w:rsidRPr="00815FA1" w:rsidRDefault="00353ED4" w:rsidP="009477F2">
      <w:pPr>
        <w:numPr>
          <w:ilvl w:val="0"/>
          <w:numId w:val="27"/>
        </w:numPr>
        <w:jc w:val="both"/>
      </w:pPr>
      <w:r w:rsidRPr="00815FA1">
        <w:t>Severe hemorrhage and hypovolemic shock requiring ICU.</w:t>
      </w:r>
    </w:p>
    <w:p w:rsidR="00353ED4" w:rsidRPr="00815FA1" w:rsidRDefault="00353ED4" w:rsidP="009477F2">
      <w:pPr>
        <w:numPr>
          <w:ilvl w:val="0"/>
          <w:numId w:val="27"/>
        </w:numPr>
        <w:jc w:val="both"/>
      </w:pPr>
      <w:r w:rsidRPr="00815FA1">
        <w:t>Maternal or neonatal sepsis requiring ICU.</w:t>
      </w:r>
    </w:p>
    <w:p w:rsidR="00353ED4" w:rsidRPr="00815FA1" w:rsidRDefault="00353ED4" w:rsidP="009477F2">
      <w:pPr>
        <w:numPr>
          <w:ilvl w:val="0"/>
          <w:numId w:val="27"/>
        </w:numPr>
        <w:jc w:val="both"/>
      </w:pPr>
      <w:r w:rsidRPr="00815FA1">
        <w:t>Cesarean of women with APRI.</w:t>
      </w:r>
    </w:p>
    <w:p w:rsidR="00353ED4" w:rsidRPr="00815FA1" w:rsidRDefault="00353ED4" w:rsidP="009477F2">
      <w:pPr>
        <w:numPr>
          <w:ilvl w:val="0"/>
          <w:numId w:val="27"/>
        </w:numPr>
        <w:jc w:val="both"/>
      </w:pPr>
      <w:r w:rsidRPr="00815FA1">
        <w:t>Complicated Laparotomy.</w:t>
      </w:r>
    </w:p>
    <w:p w:rsidR="00353ED4" w:rsidRPr="00815FA1" w:rsidRDefault="00353ED4" w:rsidP="009477F2">
      <w:pPr>
        <w:numPr>
          <w:ilvl w:val="0"/>
          <w:numId w:val="27"/>
        </w:numPr>
        <w:jc w:val="both"/>
      </w:pPr>
      <w:r w:rsidRPr="00815FA1">
        <w:t>Complicated Abdominal Hysterectomy.</w:t>
      </w:r>
    </w:p>
    <w:p w:rsidR="00353ED4" w:rsidRPr="00815FA1" w:rsidRDefault="00353ED4" w:rsidP="009477F2">
      <w:pPr>
        <w:numPr>
          <w:ilvl w:val="0"/>
          <w:numId w:val="27"/>
        </w:numPr>
        <w:jc w:val="both"/>
      </w:pPr>
      <w:r w:rsidRPr="00815FA1">
        <w:t>Complicated surgical neonatal pathology requiring ICU.</w:t>
      </w:r>
    </w:p>
    <w:p w:rsidR="00353ED4" w:rsidRPr="00815FA1" w:rsidRDefault="00353ED4" w:rsidP="009477F2">
      <w:pPr>
        <w:numPr>
          <w:ilvl w:val="0"/>
          <w:numId w:val="27"/>
        </w:numPr>
        <w:jc w:val="both"/>
      </w:pPr>
      <w:r w:rsidRPr="00815FA1">
        <w:t>Post-delivery / post abortion birth control (orientation/council, provision of all methods, including voluntary surgical birth control according to patient’s condition)</w:t>
      </w:r>
    </w:p>
    <w:p w:rsidR="00353ED4" w:rsidRPr="00815FA1" w:rsidRDefault="00353ED4" w:rsidP="008A745E">
      <w:pPr>
        <w:jc w:val="both"/>
      </w:pPr>
      <w:r w:rsidRPr="00815FA1">
        <w:t>Source: MINSA-2007</w:t>
      </w: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pPr>
    </w:p>
    <w:p w:rsidR="00353ED4" w:rsidRPr="00815FA1" w:rsidRDefault="00353ED4" w:rsidP="008740A2">
      <w:pPr>
        <w:jc w:val="both"/>
        <w:sectPr w:rsidR="00353ED4" w:rsidRPr="00815FA1" w:rsidSect="009E542E">
          <w:footerReference w:type="default" r:id="rId24"/>
          <w:pgSz w:w="12240" w:h="15840"/>
          <w:pgMar w:top="1417" w:right="1701" w:bottom="1417" w:left="1701" w:header="708" w:footer="708" w:gutter="0"/>
          <w:cols w:space="708"/>
          <w:titlePg/>
          <w:docGrid w:linePitch="360"/>
        </w:sectPr>
      </w:pPr>
    </w:p>
    <w:p w:rsidR="00353ED4" w:rsidRPr="00815FA1" w:rsidRDefault="00353ED4" w:rsidP="008937E1">
      <w:pPr>
        <w:pStyle w:val="Ttulo2"/>
        <w:numPr>
          <w:ilvl w:val="3"/>
          <w:numId w:val="9"/>
        </w:numPr>
        <w:ind w:left="426"/>
        <w:rPr>
          <w:rStyle w:val="apple-style-span"/>
          <w:b/>
        </w:rPr>
      </w:pPr>
      <w:bookmarkStart w:id="98" w:name="_Toc254270051"/>
      <w:r w:rsidRPr="00815FA1">
        <w:rPr>
          <w:rStyle w:val="apple-style-span"/>
          <w:b/>
        </w:rPr>
        <w:t>Appendix 2 – Supply Gap in Infrastructure</w:t>
      </w:r>
      <w:bookmarkEnd w:id="98"/>
    </w:p>
    <w:p w:rsidR="00353ED4" w:rsidRPr="00815FA1" w:rsidRDefault="00353ED4" w:rsidP="00CA6001">
      <w:pPr>
        <w:jc w:val="both"/>
        <w:rPr>
          <w:rStyle w:val="apple-style-span"/>
        </w:rPr>
      </w:pPr>
      <w:r w:rsidRPr="00815FA1">
        <w:rPr>
          <w:rStyle w:val="apple-style-span"/>
        </w:rPr>
        <w:t>Regarding infrastructure and supply of health services, Peruvian government has an initiative of launching universal insurance, for which prepared a technical report of supply deficit in health human resources and infrastructure focusing in the 880 poorest districts of the country. The results indicated that, instead of increasing the number of health establishments, the already existing ones should be improved with better equipment and categorized to attend more complicated needs. There is also an important deficit in the cold chain and in the number of health professional in these districts. The report estimated that an investment of 517.18 millions of nuevos soles was needed in a 10 years period to close the estimated gap (ST-CIAS, 2009).</w:t>
      </w:r>
    </w:p>
    <w:p w:rsidR="00353ED4" w:rsidRPr="00815FA1" w:rsidRDefault="00353ED4" w:rsidP="009477F2">
      <w:pPr>
        <w:jc w:val="both"/>
        <w:rPr>
          <w:rStyle w:val="apple-style-span"/>
          <w:b/>
        </w:rPr>
      </w:pPr>
    </w:p>
    <w:p w:rsidR="00353ED4" w:rsidRPr="00815FA1" w:rsidRDefault="00353ED4" w:rsidP="009477F2">
      <w:pPr>
        <w:jc w:val="both"/>
        <w:rPr>
          <w:rStyle w:val="apple-style-span"/>
          <w:b/>
        </w:rPr>
      </w:pPr>
    </w:p>
    <w:p w:rsidR="00353ED4" w:rsidRPr="00815FA1" w:rsidRDefault="00353ED4" w:rsidP="00E621EF">
      <w:pPr>
        <w:pStyle w:val="Ttulo2"/>
        <w:numPr>
          <w:ilvl w:val="3"/>
          <w:numId w:val="9"/>
        </w:numPr>
        <w:rPr>
          <w:b/>
        </w:rPr>
      </w:pPr>
      <w:r w:rsidRPr="00815FA1">
        <w:rPr>
          <w:rStyle w:val="apple-style-span"/>
        </w:rPr>
        <w:br w:type="page"/>
      </w:r>
      <w:bookmarkStart w:id="99" w:name="_Toc254270052"/>
      <w:r w:rsidRPr="00815FA1">
        <w:rPr>
          <w:b/>
        </w:rPr>
        <w:t>Appendix 3: Health Budget in real nuevos soles (2006=100) and percentage, Peru 2006-2009</w:t>
      </w:r>
      <w:bookmarkEnd w:id="99"/>
    </w:p>
    <w:p w:rsidR="00353ED4" w:rsidRPr="00815FA1" w:rsidRDefault="00353ED4" w:rsidP="009477F2"/>
    <w:tbl>
      <w:tblPr>
        <w:tblW w:w="11320" w:type="dxa"/>
        <w:jc w:val="center"/>
        <w:tblCellMar>
          <w:left w:w="70" w:type="dxa"/>
          <w:right w:w="70" w:type="dxa"/>
        </w:tblCellMar>
        <w:tblLook w:val="00A0" w:firstRow="1" w:lastRow="0" w:firstColumn="1" w:lastColumn="0" w:noHBand="0" w:noVBand="0"/>
      </w:tblPr>
      <w:tblGrid>
        <w:gridCol w:w="2740"/>
        <w:gridCol w:w="1426"/>
        <w:gridCol w:w="760"/>
        <w:gridCol w:w="1426"/>
        <w:gridCol w:w="940"/>
        <w:gridCol w:w="1426"/>
        <w:gridCol w:w="760"/>
        <w:gridCol w:w="1426"/>
        <w:gridCol w:w="760"/>
      </w:tblGrid>
      <w:tr w:rsidR="00353ED4" w:rsidRPr="00815FA1">
        <w:trPr>
          <w:trHeight w:val="915"/>
          <w:jc w:val="center"/>
        </w:trPr>
        <w:tc>
          <w:tcPr>
            <w:tcW w:w="2740" w:type="dxa"/>
            <w:tcBorders>
              <w:top w:val="nil"/>
              <w:left w:val="nil"/>
              <w:bottom w:val="nil"/>
              <w:right w:val="nil"/>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p>
        </w:tc>
        <w:tc>
          <w:tcPr>
            <w:tcW w:w="1340" w:type="dxa"/>
            <w:tcBorders>
              <w:top w:val="single" w:sz="8" w:space="0" w:color="auto"/>
              <w:left w:val="single" w:sz="8" w:space="0" w:color="auto"/>
              <w:bottom w:val="single" w:sz="8" w:space="0" w:color="auto"/>
              <w:right w:val="nil"/>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2006 (Amount)</w:t>
            </w:r>
          </w:p>
        </w:tc>
        <w:tc>
          <w:tcPr>
            <w:tcW w:w="76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2006 (%)</w:t>
            </w:r>
          </w:p>
        </w:tc>
        <w:tc>
          <w:tcPr>
            <w:tcW w:w="1340" w:type="dxa"/>
            <w:tcBorders>
              <w:top w:val="single" w:sz="8" w:space="0" w:color="auto"/>
              <w:left w:val="nil"/>
              <w:bottom w:val="single" w:sz="8" w:space="0" w:color="auto"/>
              <w:right w:val="nil"/>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2007 (Amount)</w:t>
            </w:r>
          </w:p>
        </w:tc>
        <w:tc>
          <w:tcPr>
            <w:tcW w:w="94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2007(%)</w:t>
            </w:r>
          </w:p>
        </w:tc>
        <w:tc>
          <w:tcPr>
            <w:tcW w:w="1340" w:type="dxa"/>
            <w:tcBorders>
              <w:top w:val="single" w:sz="8" w:space="0" w:color="auto"/>
              <w:left w:val="nil"/>
              <w:bottom w:val="single" w:sz="8" w:space="0" w:color="auto"/>
              <w:right w:val="nil"/>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2008 (Amount)</w:t>
            </w:r>
          </w:p>
        </w:tc>
        <w:tc>
          <w:tcPr>
            <w:tcW w:w="76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2008 (%)</w:t>
            </w:r>
          </w:p>
        </w:tc>
        <w:tc>
          <w:tcPr>
            <w:tcW w:w="1340" w:type="dxa"/>
            <w:tcBorders>
              <w:top w:val="single" w:sz="8" w:space="0" w:color="auto"/>
              <w:left w:val="nil"/>
              <w:bottom w:val="single" w:sz="8" w:space="0" w:color="auto"/>
              <w:right w:val="nil"/>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2009 (budgeted Amount)</w:t>
            </w:r>
          </w:p>
        </w:tc>
        <w:tc>
          <w:tcPr>
            <w:tcW w:w="760" w:type="dxa"/>
            <w:tcBorders>
              <w:top w:val="single" w:sz="8" w:space="0" w:color="auto"/>
              <w:left w:val="nil"/>
              <w:bottom w:val="single" w:sz="8" w:space="0" w:color="auto"/>
              <w:right w:val="single" w:sz="8" w:space="0" w:color="auto"/>
            </w:tcBorders>
            <w:shd w:val="clear" w:color="auto" w:fill="31849B"/>
            <w:vAlign w:val="center"/>
          </w:tcPr>
          <w:p w:rsidR="00353ED4" w:rsidRPr="00815FA1" w:rsidRDefault="00353ED4" w:rsidP="001E2B47">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2009 (%)</w:t>
            </w:r>
          </w:p>
        </w:tc>
      </w:tr>
      <w:tr w:rsidR="00353ED4" w:rsidRPr="00815FA1">
        <w:trPr>
          <w:trHeight w:val="315"/>
          <w:jc w:val="center"/>
        </w:trPr>
        <w:tc>
          <w:tcPr>
            <w:tcW w:w="2740" w:type="dxa"/>
            <w:tcBorders>
              <w:top w:val="single" w:sz="8" w:space="0" w:color="auto"/>
              <w:left w:val="single" w:sz="8" w:space="0" w:color="auto"/>
              <w:bottom w:val="single" w:sz="8" w:space="0" w:color="auto"/>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Health</w:t>
            </w:r>
          </w:p>
        </w:tc>
        <w:tc>
          <w:tcPr>
            <w:tcW w:w="1340" w:type="dxa"/>
            <w:tcBorders>
              <w:top w:val="nil"/>
              <w:left w:val="single" w:sz="8" w:space="0" w:color="auto"/>
              <w:bottom w:val="single" w:sz="8" w:space="0" w:color="auto"/>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3,977,774,324</w:t>
            </w:r>
          </w:p>
        </w:tc>
        <w:tc>
          <w:tcPr>
            <w:tcW w:w="760" w:type="dxa"/>
            <w:tcBorders>
              <w:top w:val="nil"/>
              <w:left w:val="nil"/>
              <w:bottom w:val="single" w:sz="8" w:space="0" w:color="auto"/>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 </w:t>
            </w:r>
          </w:p>
        </w:tc>
        <w:tc>
          <w:tcPr>
            <w:tcW w:w="1340" w:type="dxa"/>
            <w:tcBorders>
              <w:top w:val="nil"/>
              <w:left w:val="nil"/>
              <w:bottom w:val="single" w:sz="8" w:space="0" w:color="auto"/>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4,266,627,328</w:t>
            </w:r>
          </w:p>
        </w:tc>
        <w:tc>
          <w:tcPr>
            <w:tcW w:w="940" w:type="dxa"/>
            <w:tcBorders>
              <w:top w:val="nil"/>
              <w:left w:val="nil"/>
              <w:bottom w:val="single" w:sz="8" w:space="0" w:color="auto"/>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 </w:t>
            </w:r>
          </w:p>
        </w:tc>
        <w:tc>
          <w:tcPr>
            <w:tcW w:w="1340" w:type="dxa"/>
            <w:tcBorders>
              <w:top w:val="nil"/>
              <w:left w:val="nil"/>
              <w:bottom w:val="single" w:sz="8" w:space="0" w:color="auto"/>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3,846,609,377</w:t>
            </w:r>
          </w:p>
        </w:tc>
        <w:tc>
          <w:tcPr>
            <w:tcW w:w="760" w:type="dxa"/>
            <w:tcBorders>
              <w:top w:val="nil"/>
              <w:left w:val="nil"/>
              <w:bottom w:val="single" w:sz="8" w:space="0" w:color="auto"/>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 </w:t>
            </w:r>
          </w:p>
        </w:tc>
        <w:tc>
          <w:tcPr>
            <w:tcW w:w="1340" w:type="dxa"/>
            <w:tcBorders>
              <w:top w:val="nil"/>
              <w:left w:val="nil"/>
              <w:bottom w:val="single" w:sz="8" w:space="0" w:color="auto"/>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4,515,021,912</w:t>
            </w:r>
          </w:p>
        </w:tc>
        <w:tc>
          <w:tcPr>
            <w:tcW w:w="760" w:type="dxa"/>
            <w:tcBorders>
              <w:top w:val="nil"/>
              <w:left w:val="nil"/>
              <w:bottom w:val="single" w:sz="8" w:space="0" w:color="auto"/>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 </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auto" w:fill="31849B"/>
            <w:noWrap/>
            <w:vAlign w:val="bottom"/>
          </w:tcPr>
          <w:p w:rsidR="00353ED4" w:rsidRPr="00815FA1" w:rsidRDefault="00353ED4" w:rsidP="009477F2">
            <w:pPr>
              <w:spacing w:before="0" w:after="0" w:line="240" w:lineRule="auto"/>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Collective Health</w:t>
            </w:r>
          </w:p>
        </w:tc>
        <w:tc>
          <w:tcPr>
            <w:tcW w:w="1340" w:type="dxa"/>
            <w:tcBorders>
              <w:top w:val="nil"/>
              <w:left w:val="nil"/>
              <w:bottom w:val="nil"/>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376,779,253</w:t>
            </w:r>
          </w:p>
        </w:tc>
        <w:tc>
          <w:tcPr>
            <w:tcW w:w="760" w:type="dxa"/>
            <w:tcBorders>
              <w:top w:val="nil"/>
              <w:left w:val="nil"/>
              <w:bottom w:val="nil"/>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nil"/>
              <w:left w:val="nil"/>
              <w:bottom w:val="nil"/>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503,199,954</w:t>
            </w:r>
          </w:p>
        </w:tc>
        <w:tc>
          <w:tcPr>
            <w:tcW w:w="940" w:type="dxa"/>
            <w:tcBorders>
              <w:top w:val="nil"/>
              <w:left w:val="nil"/>
              <w:bottom w:val="nil"/>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nil"/>
              <w:left w:val="nil"/>
              <w:bottom w:val="nil"/>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469,536,699</w:t>
            </w:r>
          </w:p>
        </w:tc>
        <w:tc>
          <w:tcPr>
            <w:tcW w:w="760" w:type="dxa"/>
            <w:tcBorders>
              <w:top w:val="nil"/>
              <w:left w:val="nil"/>
              <w:bottom w:val="nil"/>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nil"/>
              <w:left w:val="nil"/>
              <w:bottom w:val="nil"/>
              <w:right w:val="nil"/>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490,056,681</w:t>
            </w:r>
          </w:p>
        </w:tc>
        <w:tc>
          <w:tcPr>
            <w:tcW w:w="760" w:type="dxa"/>
            <w:tcBorders>
              <w:top w:val="nil"/>
              <w:left w:val="nil"/>
              <w:bottom w:val="nil"/>
              <w:right w:val="single" w:sz="8" w:space="0" w:color="auto"/>
            </w:tcBorders>
            <w:shd w:val="clear" w:color="auto" w:fill="31849B"/>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Health Center/Dispensary</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118,931,107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31.6%</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148,221,409</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29.5%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135,298,096</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28.8%</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134,825,129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27.5%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118,486,145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147,861,609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132,457,378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97.9%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132,133,718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99,143,826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125,930,485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105,085,625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102,182,351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19,342,319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21,931,124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27,371,752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29,951,366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444,962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359,800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2,840,719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2,691,411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227,789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251,537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2,504,927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2,354,646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128,673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108,263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335,791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336,765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88,500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Hospital</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22,512,657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6.0%</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25,483,448</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5.1%</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25,690,347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36,941,639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7.5%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22,303,317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24,539,502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23,287,446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35,877,881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17,195,350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18,949,089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17,625,523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25,559,101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5,107,967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5,590,414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5,661,923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10,318,780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209,339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943,946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2,402,901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1,063,758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16,346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807,588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2,379,663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481,856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54,599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13,744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23,238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581,901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138,394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122,614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OPDs</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118,448,814</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31.4%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64,607,248</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12.8%</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39,636,685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8.4%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52,492,239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10.7%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104,727,883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61,355,644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36,917,614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43,514,815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78,061,897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39,465,309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18,147,067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15,212,567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26,665,986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21,890,335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18,770,547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28,302,248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13,720,930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3,251,604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2,719,071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8,977,424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4,024,458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405,059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341,065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5,538,312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7,583,847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434,300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1,300,485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3,439,113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2,112,625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2,412,245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1,077,522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Ministerial Administration</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115,676,527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30.7%</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257,116,813</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51.1%</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262,679,581</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55.9%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251,829,646</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51.4%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114,067,393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205,038,635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242,815,101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251,397,300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25,184,424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87,554,649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134,693,070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20,465,007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88,882,970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117,483,986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108,122,031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230,932,293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1,609,134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52,078,177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19,864,480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432,346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746,802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43,357,621</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5,837,612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432,346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401,982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28,678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215,729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460,350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8,691,878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13,811,139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Regional Government</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1,210,149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0.3%</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7,771,036</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6,231,989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1.3%</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13,968,028</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116,247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748,918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1,995,758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3,302,712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116,247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275,516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455,737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2,050,832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473,403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1,540,022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1,251,880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1,093,902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7,022,118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4,236,231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68%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10,665,316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76%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476,165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4,106,470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1,971,548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1,478,957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535,966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15"/>
          <w:jc w:val="center"/>
        </w:trPr>
        <w:tc>
          <w:tcPr>
            <w:tcW w:w="2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617,737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2,915,648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2,264,683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8,650,393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81%</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95B3D7"/>
            <w:vAlign w:val="bottom"/>
          </w:tcPr>
          <w:p w:rsidR="00353ED4" w:rsidRPr="00815FA1" w:rsidRDefault="00353ED4" w:rsidP="009477F2">
            <w:pPr>
              <w:spacing w:before="0" w:after="0" w:line="240" w:lineRule="auto"/>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Individual Health</w:t>
            </w:r>
          </w:p>
        </w:tc>
        <w:tc>
          <w:tcPr>
            <w:tcW w:w="1340" w:type="dxa"/>
            <w:tcBorders>
              <w:top w:val="single" w:sz="8" w:space="0" w:color="auto"/>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3,068,720,100</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single" w:sz="8" w:space="0" w:color="auto"/>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3,236,093,094</w:t>
            </w:r>
          </w:p>
        </w:tc>
        <w:tc>
          <w:tcPr>
            <w:tcW w:w="94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single" w:sz="8" w:space="0" w:color="auto"/>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2,880,853,578</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single" w:sz="8" w:space="0" w:color="auto"/>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3,363,501,218</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Health Center/Dispensary</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1,079,258,055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35.2%</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1,146,321,202</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35.4%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1,005,197,917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34.9%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1,014,618,377</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30.2%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1,035,129,823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1,047,763,938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966,062,232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977,432,816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730,472,549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687,774,743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621,488,780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736,685,043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304,657,274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359,989,195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344,573,452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240,747,773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44,128,232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98,557,264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39,135,686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37,185,561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24,842,587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83,994,765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24,026,159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27,507,131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5,151,496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3,221,156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1,844,147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7,811,483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14,134,150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11,341,344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11,059,257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2,206,122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1,866,947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Hospital</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1,309,351,331</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42.7%</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1,386,742,938</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42.9%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1,292,782,602</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44.9%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1,422,916,761</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42.3%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1,250,265,123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1,303,717,509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1,187,461,850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1,264,400,068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872,809,858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877,273,244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788,376,973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850,193,590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377,455,265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426,444,265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399,084,877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414,206,478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59,086,207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83,025,429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105,320,753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158,516,693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32,471,335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60,775,236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81,168,857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134,308,904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16,348,800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15,060,873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10,707,436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24,207,789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10,266,073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6,202,745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13,444,459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986,575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OPDs</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290,866,221</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9.5%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289,177,052</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8.9%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238,502,562</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8.3%</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367,754,004</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10.9%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290,827,092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289,177,052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238,502,562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367,307,366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20,086,435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2,488,146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732,945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1,517,586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270,740,657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286,688,907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237,769,617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365,789,780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39,129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446,638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39,129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446,638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Ministerial Administration</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280,424,655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9.1%</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286,820,938</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8.9%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118,850,115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4.1%</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364,999,995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10.9%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228,618,547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207,904,688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72%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74,544,549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63%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238,183,466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65%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66,938,526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70,002,315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12,773,510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40,616,845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161,680,021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137,902,373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61,771,039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197,566,621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51,806,108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78,916,250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44,305,565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126,816,529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20,958,530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71,253,909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43,853,660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126,816,529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1,306,359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520,144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24,039,529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3,685,555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5,501,691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3,456,642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451,905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Regional Government</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108,819,838</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127,030,963</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225,520,382</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7.8%</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193,212,081</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17,461,281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1,793,562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2,899,722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7,907,511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13,899,247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1,250,115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2,198,509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4,111,023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3,562,034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543,447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701,213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3,796,488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91,358,557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84%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125,237,401</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222,620,660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185,304,570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23,769,871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92,123,105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124,024,078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103,340,947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1,540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6,969,808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155,610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3,946,015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1,659,808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1,633,955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15"/>
          <w:jc w:val="center"/>
        </w:trPr>
        <w:tc>
          <w:tcPr>
            <w:tcW w:w="2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56,671,362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62%</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31,297,339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96,962,627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81,963,623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95B3D7"/>
            <w:vAlign w:val="bottom"/>
          </w:tcPr>
          <w:p w:rsidR="00353ED4" w:rsidRPr="00815FA1" w:rsidRDefault="00353ED4" w:rsidP="009477F2">
            <w:pPr>
              <w:spacing w:before="0" w:after="0" w:line="240" w:lineRule="auto"/>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Other Expenditure*</w:t>
            </w:r>
          </w:p>
        </w:tc>
        <w:tc>
          <w:tcPr>
            <w:tcW w:w="1340" w:type="dxa"/>
            <w:tcBorders>
              <w:top w:val="nil"/>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532,274,970</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nil"/>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527,334,280</w:t>
            </w:r>
          </w:p>
        </w:tc>
        <w:tc>
          <w:tcPr>
            <w:tcW w:w="94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nil"/>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496,219,100</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c>
          <w:tcPr>
            <w:tcW w:w="1340" w:type="dxa"/>
            <w:tcBorders>
              <w:top w:val="single" w:sz="8" w:space="0" w:color="auto"/>
              <w:left w:val="nil"/>
              <w:bottom w:val="nil"/>
              <w:right w:val="nil"/>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661,464,013</w:t>
            </w:r>
          </w:p>
        </w:tc>
        <w:tc>
          <w:tcPr>
            <w:tcW w:w="760" w:type="dxa"/>
            <w:tcBorders>
              <w:top w:val="single" w:sz="8" w:space="0" w:color="auto"/>
              <w:left w:val="nil"/>
              <w:bottom w:val="nil"/>
              <w:right w:val="single" w:sz="8" w:space="0" w:color="auto"/>
            </w:tcBorders>
            <w:shd w:val="clear" w:color="000000" w:fill="95B3D7"/>
            <w:vAlign w:val="bottom"/>
          </w:tcPr>
          <w:p w:rsidR="00353ED4" w:rsidRPr="00815FA1" w:rsidRDefault="00353ED4" w:rsidP="009477F2">
            <w:pPr>
              <w:spacing w:before="0" w:after="0" w:line="240" w:lineRule="auto"/>
              <w:jc w:val="center"/>
              <w:rPr>
                <w:rFonts w:eastAsia="Times New Roman"/>
                <w:b/>
                <w:bCs/>
                <w:color w:val="000000"/>
                <w:sz w:val="22"/>
                <w:szCs w:val="22"/>
                <w:u w:val="single"/>
                <w:lang w:eastAsia="zh-CN"/>
              </w:rPr>
            </w:pPr>
            <w:r w:rsidRPr="00815FA1">
              <w:rPr>
                <w:rFonts w:eastAsia="Times New Roman"/>
                <w:b/>
                <w:bCs/>
                <w:color w:val="000000"/>
                <w:sz w:val="22"/>
                <w:szCs w:val="22"/>
                <w:u w:val="single"/>
                <w:lang w:eastAsia="zh-CN"/>
              </w:rPr>
              <w:t> </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Health Center/Dispensary</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237,113,806</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44.5%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237,366,311</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45.0%</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220,093,958</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44.4%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227,280,914</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34.4%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232,701,539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233,777,827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214,097,051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221,982,303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171,819,072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172,968,056</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162,413,558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168,215,131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60,882,468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60,809,771</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51,683,493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53,767,173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4,412,267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3,588,484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5,996,908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5,298,611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2,016,436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1,922,070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2,494,512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1,675,568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2,370,621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1,574,532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1,629,774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3,623,043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28,839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24,410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63,043</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1,872,622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Hospital</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199,822,698</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37.5%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190,377,287</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36.1%</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180,975,275</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36.5%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179,133,390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27.1%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195,883,772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185,700,849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174,858,826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166,611,049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150,319,363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143,309,904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135,664,341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129,453,210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45,564,409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42,390,945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39,194,484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37,157,839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3,938,925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4,676,438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6,116,450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12,522,341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796,780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2,739,318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4,597,248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8,406,294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3,142,145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1,580,477</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1,272,989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4,116,047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356,644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246,213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OPDs</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15,275,072</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28,224,788</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29,043,140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5.9%</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43,894,010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6.6%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14,626,636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28,023,038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28,173,789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41,779,219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8,938,115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21,551,640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20,143,644</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26,113,878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5,688,521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6,471,398</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8,030,145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15,665,341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648,436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201,749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869,351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2,114,792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5%</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58,740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588,629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1,355,507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647,970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143,009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280,722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759,285</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Ministerial Administration</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76,519,900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14.4%</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71,365,895</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13.5%</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66,106,726</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13.3%</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190,523,210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28.8%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69,906,209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68,825,361</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65,162,018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177,760,412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93%</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39,099,552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38,836,859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56%</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37,928,670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58%</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141,193,249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30,806,657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29,988,502</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27,233,348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42%</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36,567,163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6,613,691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2,540,534</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4%</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944,708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12,762,798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7%</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2,681,232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1,659,315</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826,141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3,911,148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878,329</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118,567</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13%</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12,762,798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21,311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2,890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shd w:val="clear" w:color="000000" w:fill="DBE5F1"/>
            <w:noWrap/>
            <w:vAlign w:val="bottom"/>
          </w:tcPr>
          <w:p w:rsidR="00353ED4" w:rsidRPr="00815FA1" w:rsidRDefault="00353ED4" w:rsidP="009477F2">
            <w:pPr>
              <w:spacing w:before="0" w:after="0" w:line="240" w:lineRule="auto"/>
              <w:rPr>
                <w:rFonts w:eastAsia="Times New Roman"/>
                <w:b/>
                <w:bCs/>
                <w:color w:val="000000"/>
                <w:sz w:val="22"/>
                <w:szCs w:val="22"/>
                <w:lang w:eastAsia="zh-CN"/>
              </w:rPr>
            </w:pPr>
            <w:r w:rsidRPr="00815FA1">
              <w:rPr>
                <w:rFonts w:eastAsia="Times New Roman"/>
                <w:b/>
                <w:bCs/>
                <w:color w:val="000000"/>
                <w:sz w:val="22"/>
                <w:szCs w:val="22"/>
                <w:lang w:eastAsia="zh-CN"/>
              </w:rPr>
              <w:t>Regional Government</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3,543,494</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0.7%</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0</w:t>
            </w:r>
          </w:p>
        </w:tc>
        <w:tc>
          <w:tcPr>
            <w:tcW w:w="94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0.0%</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0</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0.0%</w:t>
            </w:r>
          </w:p>
        </w:tc>
        <w:tc>
          <w:tcPr>
            <w:tcW w:w="1340" w:type="dxa"/>
            <w:tcBorders>
              <w:top w:val="nil"/>
              <w:left w:val="nil"/>
              <w:bottom w:val="nil"/>
              <w:right w:val="nil"/>
            </w:tcBorders>
            <w:shd w:val="clear" w:color="000000" w:fill="DBE5F1"/>
            <w:noWrap/>
            <w:vAlign w:val="bottom"/>
          </w:tcPr>
          <w:p w:rsidR="00353ED4" w:rsidRPr="00815FA1" w:rsidRDefault="00353ED4" w:rsidP="009477F2">
            <w:pPr>
              <w:spacing w:before="0" w:after="0" w:line="240" w:lineRule="auto"/>
              <w:jc w:val="right"/>
              <w:rPr>
                <w:rFonts w:eastAsia="Times New Roman"/>
                <w:b/>
                <w:bCs/>
                <w:color w:val="000000"/>
                <w:sz w:val="22"/>
                <w:szCs w:val="22"/>
                <w:lang w:eastAsia="zh-CN"/>
              </w:rPr>
            </w:pPr>
            <w:r w:rsidRPr="00815FA1">
              <w:rPr>
                <w:rFonts w:eastAsia="Times New Roman"/>
                <w:b/>
                <w:bCs/>
                <w:color w:val="000000"/>
                <w:sz w:val="22"/>
                <w:szCs w:val="22"/>
                <w:lang w:eastAsia="zh-CN"/>
              </w:rPr>
              <w:t>20,632,489</w:t>
            </w:r>
          </w:p>
        </w:tc>
        <w:tc>
          <w:tcPr>
            <w:tcW w:w="760" w:type="dxa"/>
            <w:tcBorders>
              <w:top w:val="nil"/>
              <w:left w:val="nil"/>
              <w:bottom w:val="nil"/>
              <w:right w:val="single" w:sz="8" w:space="0" w:color="auto"/>
            </w:tcBorders>
            <w:shd w:val="clear" w:color="000000" w:fill="DBE5F1"/>
            <w:noWrap/>
            <w:vAlign w:val="bottom"/>
          </w:tcPr>
          <w:p w:rsidR="00353ED4" w:rsidRPr="00815FA1" w:rsidRDefault="00353ED4" w:rsidP="009477F2">
            <w:pPr>
              <w:spacing w:before="0" w:after="0" w:line="240" w:lineRule="auto"/>
              <w:jc w:val="center"/>
              <w:rPr>
                <w:rFonts w:eastAsia="Times New Roman"/>
                <w:b/>
                <w:bCs/>
                <w:color w:val="000000"/>
                <w:sz w:val="22"/>
                <w:szCs w:val="22"/>
                <w:lang w:eastAsia="zh-CN"/>
              </w:rPr>
            </w:pPr>
            <w:r w:rsidRPr="00815FA1">
              <w:rPr>
                <w:rFonts w:eastAsia="Times New Roman"/>
                <w:b/>
                <w:bCs/>
                <w:color w:val="000000"/>
                <w:sz w:val="22"/>
                <w:szCs w:val="22"/>
                <w:lang w:eastAsia="zh-CN"/>
              </w:rPr>
              <w:t>3.1%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Recurrent</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3,514,529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99%</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20,279,261</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98%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2,460,943</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70%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12,029,612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59%</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Non-Wages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1,053,586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8,249,649</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41%</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9477F2">
            <w:pPr>
              <w:spacing w:before="0" w:after="0" w:line="240" w:lineRule="auto"/>
              <w:rPr>
                <w:rFonts w:eastAsia="Times New Roman"/>
                <w:b/>
                <w:bCs/>
                <w:i/>
                <w:iCs/>
                <w:color w:val="000000"/>
                <w:sz w:val="22"/>
                <w:szCs w:val="22"/>
                <w:lang w:eastAsia="zh-CN"/>
              </w:rPr>
            </w:pPr>
            <w:r w:rsidRPr="00815FA1">
              <w:rPr>
                <w:rFonts w:eastAsia="Times New Roman"/>
                <w:b/>
                <w:bCs/>
                <w:i/>
                <w:iCs/>
                <w:color w:val="000000"/>
                <w:sz w:val="22"/>
                <w:szCs w:val="22"/>
                <w:lang w:eastAsia="zh-CN"/>
              </w:rPr>
              <w:t>Capital</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28,966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1%</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353,228</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center"/>
              <w:rPr>
                <w:rFonts w:eastAsia="Times New Roman"/>
                <w:b/>
                <w:bCs/>
                <w:i/>
                <w:iCs/>
                <w:color w:val="000000"/>
                <w:sz w:val="22"/>
                <w:szCs w:val="22"/>
                <w:lang w:eastAsia="zh-CN"/>
              </w:rPr>
            </w:pPr>
            <w:r w:rsidRPr="00815FA1">
              <w:rPr>
                <w:rFonts w:eastAsia="Times New Roman"/>
                <w:b/>
                <w:bCs/>
                <w:i/>
                <w:iCs/>
                <w:color w:val="000000"/>
                <w:sz w:val="22"/>
                <w:szCs w:val="22"/>
                <w:lang w:eastAsia="zh-CN"/>
              </w:rPr>
              <w:t>2%</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Domestic</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10,000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241,382</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68%</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18,876</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65%</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Loans</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00"/>
          <w:jc w:val="center"/>
        </w:trPr>
        <w:tc>
          <w:tcPr>
            <w:tcW w:w="2740" w:type="dxa"/>
            <w:tcBorders>
              <w:top w:val="nil"/>
              <w:left w:val="single" w:sz="8" w:space="0" w:color="auto"/>
              <w:bottom w:val="nil"/>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Donor</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nil"/>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nil"/>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r>
      <w:tr w:rsidR="00353ED4" w:rsidRPr="00815FA1">
        <w:trPr>
          <w:trHeight w:val="315"/>
          <w:jc w:val="center"/>
        </w:trPr>
        <w:tc>
          <w:tcPr>
            <w:tcW w:w="2740" w:type="dxa"/>
            <w:tcBorders>
              <w:top w:val="nil"/>
              <w:left w:val="single" w:sz="8" w:space="0" w:color="auto"/>
              <w:bottom w:val="single" w:sz="8" w:space="0" w:color="auto"/>
              <w:right w:val="single" w:sz="8" w:space="0" w:color="auto"/>
            </w:tcBorders>
            <w:noWrap/>
            <w:vAlign w:val="bottom"/>
          </w:tcPr>
          <w:p w:rsidR="00353ED4" w:rsidRPr="00815FA1" w:rsidRDefault="00353ED4" w:rsidP="00132204">
            <w:pPr>
              <w:spacing w:before="0" w:after="0" w:line="240" w:lineRule="auto"/>
              <w:ind w:firstLineChars="100" w:firstLine="220"/>
              <w:rPr>
                <w:rFonts w:eastAsia="Times New Roman"/>
                <w:color w:val="000000"/>
                <w:sz w:val="22"/>
                <w:szCs w:val="22"/>
                <w:lang w:eastAsia="zh-CN"/>
              </w:rPr>
            </w:pPr>
            <w:r w:rsidRPr="00815FA1">
              <w:rPr>
                <w:rFonts w:eastAsia="Times New Roman"/>
                <w:color w:val="000000"/>
                <w:sz w:val="22"/>
                <w:szCs w:val="22"/>
                <w:lang w:eastAsia="zh-CN"/>
              </w:rPr>
              <w:t>RD</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90</w:t>
            </w:r>
          </w:p>
        </w:tc>
        <w:tc>
          <w:tcPr>
            <w:tcW w:w="760" w:type="dxa"/>
            <w:tcBorders>
              <w:top w:val="nil"/>
              <w:left w:val="nil"/>
              <w:bottom w:val="single" w:sz="8" w:space="0" w:color="auto"/>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940" w:type="dxa"/>
            <w:tcBorders>
              <w:top w:val="nil"/>
              <w:left w:val="nil"/>
              <w:bottom w:val="single" w:sz="8" w:space="0" w:color="auto"/>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0</w:t>
            </w:r>
          </w:p>
        </w:tc>
        <w:tc>
          <w:tcPr>
            <w:tcW w:w="760" w:type="dxa"/>
            <w:tcBorders>
              <w:top w:val="nil"/>
              <w:left w:val="nil"/>
              <w:bottom w:val="single" w:sz="8" w:space="0" w:color="auto"/>
              <w:right w:val="single" w:sz="8" w:space="0" w:color="auto"/>
            </w:tcBorders>
            <w:noWrap/>
            <w:vAlign w:val="bottom"/>
          </w:tcPr>
          <w:p w:rsidR="00353ED4" w:rsidRPr="00815FA1" w:rsidRDefault="00353ED4" w:rsidP="009477F2">
            <w:pPr>
              <w:spacing w:before="0" w:after="0" w:line="240" w:lineRule="auto"/>
              <w:rPr>
                <w:rFonts w:eastAsia="Times New Roman"/>
                <w:color w:val="000000"/>
                <w:sz w:val="22"/>
                <w:szCs w:val="22"/>
                <w:lang w:eastAsia="zh-CN"/>
              </w:rPr>
            </w:pPr>
            <w:r w:rsidRPr="00815FA1">
              <w:rPr>
                <w:rFonts w:eastAsia="Times New Roman"/>
                <w:color w:val="000000"/>
                <w:sz w:val="22"/>
                <w:szCs w:val="22"/>
                <w:lang w:eastAsia="zh-CN"/>
              </w:rPr>
              <w:t> </w:t>
            </w:r>
          </w:p>
        </w:tc>
        <w:tc>
          <w:tcPr>
            <w:tcW w:w="1340" w:type="dxa"/>
            <w:tcBorders>
              <w:top w:val="nil"/>
              <w:left w:val="nil"/>
              <w:bottom w:val="single" w:sz="8" w:space="0" w:color="auto"/>
              <w:right w:val="nil"/>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111,846</w:t>
            </w:r>
          </w:p>
        </w:tc>
        <w:tc>
          <w:tcPr>
            <w:tcW w:w="760" w:type="dxa"/>
            <w:tcBorders>
              <w:top w:val="nil"/>
              <w:left w:val="nil"/>
              <w:bottom w:val="single" w:sz="8" w:space="0" w:color="auto"/>
              <w:right w:val="single" w:sz="8" w:space="0" w:color="auto"/>
            </w:tcBorders>
            <w:noWrap/>
            <w:vAlign w:val="bottom"/>
          </w:tcPr>
          <w:p w:rsidR="00353ED4" w:rsidRPr="00815FA1" w:rsidRDefault="00353ED4" w:rsidP="009477F2">
            <w:pPr>
              <w:spacing w:before="0" w:after="0" w:line="240" w:lineRule="auto"/>
              <w:jc w:val="right"/>
              <w:rPr>
                <w:rFonts w:eastAsia="Times New Roman"/>
                <w:color w:val="000000"/>
                <w:sz w:val="22"/>
                <w:szCs w:val="22"/>
                <w:lang w:eastAsia="zh-CN"/>
              </w:rPr>
            </w:pPr>
            <w:r w:rsidRPr="00815FA1">
              <w:rPr>
                <w:rFonts w:eastAsia="Times New Roman"/>
                <w:color w:val="000000"/>
                <w:sz w:val="22"/>
                <w:szCs w:val="22"/>
                <w:lang w:eastAsia="zh-CN"/>
              </w:rPr>
              <w:t>32%</w:t>
            </w:r>
          </w:p>
        </w:tc>
      </w:tr>
    </w:tbl>
    <w:p w:rsidR="00353ED4" w:rsidRPr="00815FA1" w:rsidRDefault="00353ED4" w:rsidP="0057129D">
      <w:pPr>
        <w:ind w:left="360"/>
        <w:jc w:val="both"/>
        <w:rPr>
          <w:b/>
        </w:rPr>
      </w:pPr>
    </w:p>
    <w:sectPr w:rsidR="00353ED4" w:rsidRPr="00815FA1" w:rsidSect="00076C49">
      <w:pgSz w:w="12240" w:h="15840"/>
      <w:pgMar w:top="1418" w:right="1701" w:bottom="1418"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D4" w:rsidRDefault="00353ED4" w:rsidP="002F1ED4">
      <w:pPr>
        <w:spacing w:after="0" w:line="240" w:lineRule="auto"/>
      </w:pPr>
      <w:r>
        <w:separator/>
      </w:r>
    </w:p>
  </w:endnote>
  <w:endnote w:type="continuationSeparator" w:id="0">
    <w:p w:rsidR="00353ED4" w:rsidRDefault="00353ED4" w:rsidP="002F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D4" w:rsidRPr="00C00517" w:rsidRDefault="00353ED4">
    <w:pPr>
      <w:pStyle w:val="Piedepgina"/>
      <w:jc w:val="right"/>
      <w:rPr>
        <w:rFonts w:ascii="Trebuchet MS" w:hAnsi="Trebuchet MS"/>
      </w:rPr>
    </w:pPr>
    <w:r w:rsidRPr="00C00517">
      <w:rPr>
        <w:rFonts w:ascii="Trebuchet MS" w:hAnsi="Trebuchet MS"/>
      </w:rPr>
      <w:fldChar w:fldCharType="begin"/>
    </w:r>
    <w:r w:rsidRPr="00C00517">
      <w:rPr>
        <w:rFonts w:ascii="Trebuchet MS" w:hAnsi="Trebuchet MS"/>
      </w:rPr>
      <w:instrText xml:space="preserve"> PAGE   \* MERGEFORMAT </w:instrText>
    </w:r>
    <w:r w:rsidRPr="00C00517">
      <w:rPr>
        <w:rFonts w:ascii="Trebuchet MS" w:hAnsi="Trebuchet MS"/>
      </w:rPr>
      <w:fldChar w:fldCharType="separate"/>
    </w:r>
    <w:r w:rsidR="00132204">
      <w:rPr>
        <w:rFonts w:ascii="Trebuchet MS" w:hAnsi="Trebuchet MS"/>
        <w:noProof/>
      </w:rPr>
      <w:t>4</w:t>
    </w:r>
    <w:r w:rsidRPr="00C00517">
      <w:rPr>
        <w:rFonts w:ascii="Trebuchet MS" w:hAnsi="Trebuchet MS"/>
      </w:rPr>
      <w:fldChar w:fldCharType="end"/>
    </w:r>
  </w:p>
  <w:p w:rsidR="00353ED4" w:rsidRDefault="00353E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D4" w:rsidRDefault="00353ED4" w:rsidP="002F1ED4">
      <w:pPr>
        <w:spacing w:after="0" w:line="240" w:lineRule="auto"/>
      </w:pPr>
      <w:r>
        <w:separator/>
      </w:r>
    </w:p>
  </w:footnote>
  <w:footnote w:type="continuationSeparator" w:id="0">
    <w:p w:rsidR="00353ED4" w:rsidRDefault="00353ED4" w:rsidP="002F1ED4">
      <w:pPr>
        <w:spacing w:after="0" w:line="240" w:lineRule="auto"/>
      </w:pPr>
      <w:r>
        <w:continuationSeparator/>
      </w:r>
    </w:p>
  </w:footnote>
  <w:footnote w:id="1">
    <w:p w:rsidR="00353ED4" w:rsidRDefault="00353ED4">
      <w:pPr>
        <w:pStyle w:val="Textonotapie"/>
      </w:pPr>
      <w:r>
        <w:rPr>
          <w:rStyle w:val="Refdenotaalpie"/>
        </w:rPr>
        <w:footnoteRef/>
      </w:r>
      <w:r w:rsidRPr="008175C2">
        <w:t xml:space="preserve"> </w:t>
      </w:r>
      <w:r>
        <w:t xml:space="preserve">The sector organization section is based on MINSA &amp; CIES (2008). </w:t>
      </w:r>
    </w:p>
  </w:footnote>
  <w:footnote w:id="2">
    <w:p w:rsidR="00353ED4" w:rsidRDefault="00353ED4" w:rsidP="005C4791">
      <w:pPr>
        <w:pStyle w:val="Textonotapie"/>
        <w:spacing w:after="0" w:line="240" w:lineRule="auto"/>
        <w:jc w:val="both"/>
      </w:pPr>
      <w:r w:rsidRPr="00413870">
        <w:rPr>
          <w:rStyle w:val="Refdenotaalpie"/>
        </w:rPr>
        <w:footnoteRef/>
      </w:r>
      <w:r w:rsidRPr="00413870">
        <w:t xml:space="preserve"> </w:t>
      </w:r>
      <w:r w:rsidRPr="00413870">
        <w:rPr>
          <w:sz w:val="18"/>
        </w:rPr>
        <w:t>The country’s GDP has grown 4.15% in average since 1990 and 6.2% in the 2002-2007 period.</w:t>
      </w:r>
    </w:p>
  </w:footnote>
  <w:footnote w:id="3">
    <w:p w:rsidR="00353ED4" w:rsidRDefault="00353ED4" w:rsidP="005C4791">
      <w:pPr>
        <w:pStyle w:val="Textonotapie"/>
        <w:spacing w:after="0" w:line="240" w:lineRule="auto"/>
        <w:jc w:val="both"/>
      </w:pPr>
      <w:r w:rsidRPr="00413870">
        <w:rPr>
          <w:rStyle w:val="Refdenotaalpie"/>
          <w:rFonts w:cs="Tahoma"/>
        </w:rPr>
        <w:footnoteRef/>
      </w:r>
      <w:r w:rsidRPr="00413870">
        <w:t xml:space="preserve">  Peruvian Ministry of Health. (2007). </w:t>
      </w:r>
      <w:r w:rsidRPr="00413870">
        <w:rPr>
          <w:i/>
        </w:rPr>
        <w:t>National Coordinated Health Plan.</w:t>
      </w:r>
      <w:r w:rsidRPr="00413870">
        <w:t xml:space="preserve"> MINSA, Lima. Page 21.</w:t>
      </w:r>
    </w:p>
  </w:footnote>
  <w:footnote w:id="4">
    <w:p w:rsidR="00353ED4" w:rsidRPr="00EB4B89" w:rsidRDefault="00353ED4" w:rsidP="003C3410">
      <w:pPr>
        <w:pStyle w:val="Textonotapie"/>
      </w:pPr>
      <w:r>
        <w:rPr>
          <w:rStyle w:val="Refdenotaalpie"/>
        </w:rPr>
        <w:footnoteRef/>
      </w:r>
      <w:r w:rsidRPr="007C5DD8">
        <w:t xml:space="preserve"> </w:t>
      </w:r>
      <w:r>
        <w:t>T</w:t>
      </w:r>
      <w:r w:rsidRPr="00A57C45">
        <w:t>he reason why these information is out of date is related to the absence of a more actual national census, been the last available data from 1996.</w:t>
      </w:r>
    </w:p>
    <w:p w:rsidR="00353ED4" w:rsidRDefault="00353ED4" w:rsidP="003C3410">
      <w:pPr>
        <w:pStyle w:val="Textonotapie"/>
      </w:pPr>
    </w:p>
  </w:footnote>
  <w:footnote w:id="5">
    <w:p w:rsidR="00353ED4" w:rsidRDefault="00353ED4" w:rsidP="005C4791">
      <w:pPr>
        <w:pStyle w:val="Textonotapie"/>
        <w:spacing w:after="0" w:line="240" w:lineRule="auto"/>
        <w:jc w:val="both"/>
      </w:pPr>
      <w:r w:rsidRPr="00413870">
        <w:rPr>
          <w:rStyle w:val="Refdenotaalpie"/>
        </w:rPr>
        <w:footnoteRef/>
      </w:r>
      <w:r w:rsidRPr="00413870">
        <w:rPr>
          <w:rFonts w:cs="Tahoma"/>
          <w:noProof/>
        </w:rPr>
        <w:t xml:space="preserve"> Institutional delivery is considered when the birth takes place in a hospital, a health center or post, a private clinic or practice. Non institutional delivery is considered when it takes place at home (women’s or midwives’) or at other places.</w:t>
      </w:r>
    </w:p>
  </w:footnote>
  <w:footnote w:id="6">
    <w:p w:rsidR="00353ED4" w:rsidRDefault="00353ED4">
      <w:pPr>
        <w:pStyle w:val="Textonotapie"/>
      </w:pPr>
      <w:r>
        <w:rPr>
          <w:rStyle w:val="Refdenotaalpie"/>
        </w:rPr>
        <w:footnoteRef/>
      </w:r>
      <w:r w:rsidRPr="00B43F05">
        <w:t xml:space="preserve"> </w:t>
      </w:r>
      <w:r>
        <w:t>The Institutional Delivery Section is based on the document “</w:t>
      </w:r>
      <w:r w:rsidRPr="00B43F05">
        <w:t>Recent trends on Institutional Birth services in Peru</w:t>
      </w:r>
      <w:r>
        <w:t>”, 2009.</w:t>
      </w:r>
    </w:p>
  </w:footnote>
  <w:footnote w:id="7">
    <w:p w:rsidR="00353ED4" w:rsidRDefault="00353ED4" w:rsidP="003C3410">
      <w:pPr>
        <w:pStyle w:val="Textonotapie"/>
        <w:spacing w:before="0" w:after="0" w:line="240" w:lineRule="auto"/>
      </w:pPr>
      <w:r w:rsidRPr="00413870">
        <w:rPr>
          <w:rStyle w:val="Refdenotaalpie"/>
        </w:rPr>
        <w:footnoteRef/>
      </w:r>
      <w:r w:rsidRPr="00413870">
        <w:t xml:space="preserve"> 57% of total deliveries are urban, while 43% are rural.</w:t>
      </w:r>
    </w:p>
  </w:footnote>
  <w:footnote w:id="8">
    <w:p w:rsidR="00353ED4" w:rsidRDefault="00353ED4" w:rsidP="003C3410">
      <w:pPr>
        <w:pStyle w:val="Textonotapie"/>
        <w:spacing w:before="0" w:after="0" w:line="240" w:lineRule="auto"/>
      </w:pPr>
      <w:r w:rsidRPr="00413870">
        <w:rPr>
          <w:rStyle w:val="Refdenotaalpie"/>
          <w:rFonts w:cs="Tahoma"/>
        </w:rPr>
        <w:footnoteRef/>
      </w:r>
      <w:r w:rsidRPr="00413870">
        <w:rPr>
          <w:rFonts w:cs="Tahoma"/>
        </w:rPr>
        <w:t xml:space="preserve"> </w:t>
      </w:r>
      <w:r w:rsidRPr="00413870">
        <w:rPr>
          <w:szCs w:val="18"/>
        </w:rPr>
        <w:t>If the woman reported more than one caregiver for her delivery (in ENDES), it is considered that the delivery was in charge of the most qualified type of caregiver listed.</w:t>
      </w:r>
    </w:p>
  </w:footnote>
  <w:footnote w:id="9">
    <w:p w:rsidR="00353ED4" w:rsidRDefault="00353ED4" w:rsidP="003C3410">
      <w:pPr>
        <w:pStyle w:val="Textonotapie"/>
        <w:spacing w:before="0" w:after="0" w:line="240" w:lineRule="auto"/>
      </w:pPr>
      <w:r w:rsidRPr="00413870">
        <w:rPr>
          <w:rStyle w:val="Refdenotaalpie"/>
        </w:rPr>
        <w:footnoteRef/>
      </w:r>
      <w:r w:rsidRPr="00413870">
        <w:t xml:space="preserve"> </w:t>
      </w:r>
      <w:r w:rsidRPr="00413870">
        <w:rPr>
          <w:szCs w:val="18"/>
        </w:rPr>
        <w:t xml:space="preserve">The “Others” category considers deliveries attended by a “health worker” (not an specialist), a friend or relative or any uncoded person. </w:t>
      </w:r>
    </w:p>
  </w:footnote>
  <w:footnote w:id="10">
    <w:p w:rsidR="00353ED4" w:rsidRDefault="00353ED4" w:rsidP="005C4791">
      <w:pPr>
        <w:pStyle w:val="Textonotapie"/>
        <w:spacing w:after="0" w:line="240" w:lineRule="auto"/>
        <w:jc w:val="both"/>
      </w:pPr>
      <w:r w:rsidRPr="00413870">
        <w:rPr>
          <w:rStyle w:val="Refdenotaalpie"/>
          <w:rFonts w:cs="Tahoma"/>
        </w:rPr>
        <w:footnoteRef/>
      </w:r>
      <w:r w:rsidRPr="00413870">
        <w:rPr>
          <w:rFonts w:cs="Tahoma"/>
          <w:lang w:val="en-GB"/>
        </w:rPr>
        <w:t xml:space="preserve"> See Appendix 1 for a more complete description of the FON levels.</w:t>
      </w:r>
    </w:p>
  </w:footnote>
  <w:footnote w:id="11">
    <w:p w:rsidR="00353ED4" w:rsidRDefault="00353ED4" w:rsidP="005C4791">
      <w:pPr>
        <w:pStyle w:val="Textonotapie"/>
        <w:spacing w:after="0" w:line="240" w:lineRule="auto"/>
        <w:jc w:val="both"/>
      </w:pPr>
      <w:r w:rsidRPr="00413870">
        <w:rPr>
          <w:rStyle w:val="Refdenotaalpie"/>
        </w:rPr>
        <w:footnoteRef/>
      </w:r>
      <w:r w:rsidRPr="00413870">
        <w:t xml:space="preserve"> As can be seen in Table </w:t>
      </w:r>
      <w:r>
        <w:t>18</w:t>
      </w:r>
      <w:r w:rsidRPr="00413870">
        <w:t xml:space="preserve">, the cut point to determine “adequate” CR is 80%, meaning that if an establishment has a Capacity of Resolution (CR) of more than 80%, then it’s considered able to perform adequately institutional deliveries. The cut point is the standard that MINSA works with. </w:t>
      </w:r>
    </w:p>
  </w:footnote>
  <w:footnote w:id="12">
    <w:p w:rsidR="00353ED4" w:rsidRDefault="00353ED4" w:rsidP="005C4791">
      <w:pPr>
        <w:pStyle w:val="Textonotapie"/>
        <w:spacing w:after="0" w:line="240" w:lineRule="auto"/>
        <w:jc w:val="both"/>
      </w:pPr>
      <w:r w:rsidRPr="00413870">
        <w:rPr>
          <w:rStyle w:val="Refdenotaalpie"/>
        </w:rPr>
        <w:footnoteRef/>
      </w:r>
      <w:r w:rsidRPr="00413870">
        <w:t xml:space="preserve"> MEF. Maternal and Neonatal Health Strategic Program</w:t>
      </w:r>
    </w:p>
  </w:footnote>
  <w:footnote w:id="13">
    <w:p w:rsidR="00353ED4" w:rsidRDefault="00353ED4" w:rsidP="005C4791">
      <w:pPr>
        <w:pStyle w:val="Textonotapie"/>
        <w:spacing w:after="0" w:line="240" w:lineRule="auto"/>
        <w:jc w:val="both"/>
      </w:pPr>
      <w:r w:rsidRPr="00413870">
        <w:rPr>
          <w:rStyle w:val="Refdenotaalpie"/>
        </w:rPr>
        <w:footnoteRef/>
      </w:r>
      <w:r w:rsidRPr="002A7834">
        <w:rPr>
          <w:lang w:val="en-GB"/>
        </w:rPr>
        <w:t xml:space="preserve"> Cooperative Roundtable on the Fight against Poverty (Mesa de Concentración para la Lucha contra la Pobreza). </w:t>
      </w:r>
      <w:r w:rsidRPr="00413870">
        <w:t xml:space="preserve">Following Monitoring Maternal and Neonatal Health Strategic Program. </w:t>
      </w:r>
      <w:r w:rsidRPr="00BC1EE7">
        <w:t>June Report 2008.</w:t>
      </w:r>
    </w:p>
  </w:footnote>
  <w:footnote w:id="14">
    <w:p w:rsidR="00353ED4" w:rsidRDefault="00353ED4" w:rsidP="00454D41">
      <w:pPr>
        <w:pStyle w:val="Textonotapie"/>
        <w:spacing w:after="0" w:line="240" w:lineRule="auto"/>
        <w:jc w:val="both"/>
      </w:pPr>
      <w:r w:rsidRPr="008D1122">
        <w:rPr>
          <w:rStyle w:val="Refdenotaalpie"/>
          <w:rFonts w:cs="Tahoma"/>
        </w:rPr>
        <w:footnoteRef/>
      </w:r>
      <w:r w:rsidRPr="008D1122">
        <w:rPr>
          <w:rFonts w:cs="Tahoma"/>
        </w:rPr>
        <w:t xml:space="preserve"> The last consistent information regard to the financing flows and expenses is from 2005</w:t>
      </w:r>
      <w:r>
        <w:rPr>
          <w:rFonts w:cs="Tahoma"/>
        </w:rPr>
        <w:t xml:space="preserve">: </w:t>
      </w:r>
      <w:r w:rsidRPr="008D1122">
        <w:rPr>
          <w:rFonts w:cs="Tahoma"/>
        </w:rPr>
        <w:t>National Accountings (MINSA-OPS/OMS Peru 2004).</w:t>
      </w:r>
    </w:p>
  </w:footnote>
  <w:footnote w:id="15">
    <w:p w:rsidR="00353ED4" w:rsidRDefault="00353ED4" w:rsidP="00454D41">
      <w:pPr>
        <w:pStyle w:val="Textonotapie"/>
        <w:spacing w:after="0" w:line="240" w:lineRule="auto"/>
        <w:jc w:val="both"/>
      </w:pPr>
      <w:r w:rsidRPr="008D1122">
        <w:rPr>
          <w:rStyle w:val="Refdenotaalpie"/>
          <w:rFonts w:cs="Tahoma"/>
        </w:rPr>
        <w:footnoteRef/>
      </w:r>
      <w:r w:rsidRPr="008D1122">
        <w:rPr>
          <w:rFonts w:cs="Tahoma"/>
        </w:rPr>
        <w:t xml:space="preserve"> Table </w:t>
      </w:r>
      <w:r>
        <w:rPr>
          <w:rFonts w:cs="Tahoma"/>
        </w:rPr>
        <w:t>20</w:t>
      </w:r>
      <w:r w:rsidRPr="008D1122">
        <w:rPr>
          <w:rFonts w:cs="Tahoma"/>
        </w:rPr>
        <w:t xml:space="preserve"> considers health expenditure as all expenditure made for the provision of health services, public, private and informal. It gathers all the resources (facts and inputs) that participated, including investment on infrastructure. Regard to the public financing component, this </w:t>
      </w:r>
      <w:r>
        <w:rPr>
          <w:rFonts w:cs="Tahoma"/>
        </w:rPr>
        <w:t>is</w:t>
      </w:r>
      <w:r w:rsidRPr="008D1122">
        <w:rPr>
          <w:rFonts w:cs="Tahoma"/>
        </w:rPr>
        <w:t xml:space="preserve"> always lower than the executed </w:t>
      </w:r>
      <w:r>
        <w:rPr>
          <w:rFonts w:cs="Tahoma"/>
        </w:rPr>
        <w:t>budget</w:t>
      </w:r>
      <w:r w:rsidRPr="008D1122">
        <w:rPr>
          <w:rFonts w:cs="Tahoma"/>
        </w:rPr>
        <w:t>, not only because they just account the public treasury funds and indebtedness, but also because pension’s payments of the ex workers are deduct</w:t>
      </w:r>
      <w:r>
        <w:rPr>
          <w:rFonts w:cs="Tahoma"/>
        </w:rPr>
        <w:t>. Further definitions and methodology can be found in</w:t>
      </w:r>
      <w:r w:rsidRPr="008D1122">
        <w:rPr>
          <w:rFonts w:cs="Tahoma"/>
        </w:rPr>
        <w:t xml:space="preserve"> the text </w:t>
      </w:r>
      <w:r>
        <w:rPr>
          <w:rFonts w:cs="Tahoma"/>
        </w:rPr>
        <w:t>“</w:t>
      </w:r>
      <w:r w:rsidRPr="008D1122">
        <w:rPr>
          <w:rFonts w:cs="Tahoma"/>
        </w:rPr>
        <w:t>National Accountings in Health</w:t>
      </w:r>
      <w:r>
        <w:rPr>
          <w:rFonts w:cs="Tahoma"/>
        </w:rPr>
        <w:t>”</w:t>
      </w:r>
      <w:r w:rsidRPr="008D1122">
        <w:rPr>
          <w:rFonts w:cs="Tahoma"/>
        </w:rPr>
        <w:t xml:space="preserve"> (MINSA-OPS/OMS Peru 2004).</w:t>
      </w:r>
    </w:p>
  </w:footnote>
  <w:footnote w:id="16">
    <w:p w:rsidR="00353ED4" w:rsidRDefault="00353ED4" w:rsidP="005C4791">
      <w:pPr>
        <w:pStyle w:val="Textonotapie"/>
        <w:jc w:val="both"/>
      </w:pPr>
      <w:r w:rsidRPr="00413870">
        <w:rPr>
          <w:rStyle w:val="Refdenotaalpie"/>
        </w:rPr>
        <w:footnoteRef/>
      </w:r>
      <w:r w:rsidRPr="00413870">
        <w:t xml:space="preserve"> PARSALUD is the Program of Support for the Health Sector Reform. </w:t>
      </w:r>
      <w:r w:rsidRPr="00AB7980">
        <w:t>It’s managed by MINSA.</w:t>
      </w:r>
    </w:p>
  </w:footnote>
  <w:footnote w:id="17">
    <w:p w:rsidR="00353ED4" w:rsidRDefault="00353ED4">
      <w:pPr>
        <w:pStyle w:val="Textonotapie"/>
      </w:pPr>
      <w:r>
        <w:rPr>
          <w:rStyle w:val="Refdenotaalpie"/>
        </w:rPr>
        <w:footnoteRef/>
      </w:r>
      <w:r w:rsidRPr="00856E2B">
        <w:rPr>
          <w:lang w:val="en-GB"/>
        </w:rPr>
        <w:t xml:space="preserve"> Based on Petrera and Seinfeld (2007). </w:t>
      </w:r>
      <w:r w:rsidRPr="004D2C90">
        <w:t>Repensando la Salud en el Perú.</w:t>
      </w:r>
    </w:p>
  </w:footnote>
  <w:footnote w:id="18">
    <w:p w:rsidR="00353ED4" w:rsidRDefault="00353ED4" w:rsidP="008D1122">
      <w:pPr>
        <w:pStyle w:val="Textonotapie"/>
        <w:spacing w:after="0" w:line="240" w:lineRule="auto"/>
        <w:jc w:val="both"/>
      </w:pPr>
      <w:r w:rsidRPr="008D1122">
        <w:rPr>
          <w:rStyle w:val="Refdenotaalpie"/>
        </w:rPr>
        <w:footnoteRef/>
      </w:r>
      <w:r w:rsidRPr="008D1122">
        <w:t xml:space="preserve"> Minimum Unit of disintegration in the allocation and execution of the public budget. </w:t>
      </w:r>
    </w:p>
  </w:footnote>
  <w:footnote w:id="19">
    <w:p w:rsidR="00353ED4" w:rsidRDefault="00353ED4" w:rsidP="008D1122">
      <w:pPr>
        <w:pStyle w:val="Textonotapie"/>
        <w:spacing w:after="0" w:line="240" w:lineRule="auto"/>
        <w:jc w:val="both"/>
      </w:pPr>
      <w:r w:rsidRPr="008D1122">
        <w:rPr>
          <w:rStyle w:val="Refdenotaalpie"/>
          <w:rFonts w:cs="Tahoma"/>
        </w:rPr>
        <w:footnoteRef/>
      </w:r>
      <w:r w:rsidRPr="008D1122">
        <w:rPr>
          <w:rFonts w:cs="Tahoma"/>
        </w:rPr>
        <w:t xml:space="preserve"> Even though a guideline related to the development of Operational Plans was made in the year 2004, where is required that the approvals for this ones are given in agreement with the organizational structure, the logical budget has been prioritized. </w:t>
      </w:r>
    </w:p>
  </w:footnote>
  <w:footnote w:id="20">
    <w:p w:rsidR="00353ED4" w:rsidRDefault="00353ED4" w:rsidP="00607344">
      <w:pPr>
        <w:pStyle w:val="Textonotapie"/>
        <w:jc w:val="both"/>
      </w:pPr>
      <w:r w:rsidRPr="00413870">
        <w:rPr>
          <w:rStyle w:val="Refdenotaalpie"/>
        </w:rPr>
        <w:footnoteRef/>
      </w:r>
      <w:r w:rsidRPr="00413870">
        <w:t xml:space="preserve"> SIS refunds health establishments approximately 30% of the attentions to its insured individuals. The proportion of the refund has reduced in or</w:t>
      </w:r>
      <w:r>
        <w:t>c</w:t>
      </w:r>
      <w:r w:rsidRPr="00413870">
        <w:t xml:space="preserve">der to encourage more preventive actions. </w:t>
      </w:r>
      <w:r>
        <w:t>Additionally</w:t>
      </w:r>
      <w:r w:rsidRPr="00F90F4F">
        <w:t>, more money is assigned to preventive care.</w:t>
      </w:r>
    </w:p>
  </w:footnote>
  <w:footnote w:id="21">
    <w:p w:rsidR="00353ED4" w:rsidRPr="008A745E" w:rsidRDefault="00353ED4" w:rsidP="005C4791">
      <w:pPr>
        <w:spacing w:after="0" w:line="240" w:lineRule="auto"/>
        <w:jc w:val="both"/>
      </w:pPr>
      <w:r w:rsidRPr="008A745E">
        <w:rPr>
          <w:rStyle w:val="Refdenotaalpie"/>
        </w:rPr>
        <w:footnoteRef/>
      </w:r>
      <w:r w:rsidRPr="008A745E">
        <w:t xml:space="preserve"> DST: Diagnosing - Stabilization – Transfer.</w:t>
      </w:r>
    </w:p>
    <w:p w:rsidR="00353ED4" w:rsidRDefault="00353ED4" w:rsidP="005C4791">
      <w:pPr>
        <w:spacing w:after="0" w:line="240" w:lineRule="auto"/>
        <w:jc w:val="both"/>
      </w:pPr>
    </w:p>
  </w:footnote>
  <w:footnote w:id="22">
    <w:p w:rsidR="00353ED4" w:rsidRDefault="00353ED4" w:rsidP="005C4791">
      <w:pPr>
        <w:autoSpaceDE w:val="0"/>
        <w:autoSpaceDN w:val="0"/>
        <w:adjustRightInd w:val="0"/>
        <w:spacing w:after="0" w:line="240" w:lineRule="auto"/>
        <w:jc w:val="both"/>
      </w:pPr>
      <w:r w:rsidRPr="008A745E">
        <w:rPr>
          <w:lang w:val="en-GB"/>
        </w:rPr>
        <w:t>2 It’s not DST if the FONB establishment counts with equipment and staff with competences to perform the Manual Vacuum Aspiration (MVA).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ACD"/>
    <w:multiLevelType w:val="hybridMultilevel"/>
    <w:tmpl w:val="67E4F470"/>
    <w:lvl w:ilvl="0" w:tplc="60D09C6C">
      <w:start w:val="1"/>
      <w:numFmt w:val="upp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
    <w:nsid w:val="0B700654"/>
    <w:multiLevelType w:val="hybridMultilevel"/>
    <w:tmpl w:val="A8986EA6"/>
    <w:lvl w:ilvl="0" w:tplc="9506709C">
      <w:start w:val="1"/>
      <w:numFmt w:val="upp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
    <w:nsid w:val="0CA30427"/>
    <w:multiLevelType w:val="hybridMultilevel"/>
    <w:tmpl w:val="15049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0FFE2CB9"/>
    <w:multiLevelType w:val="hybridMultilevel"/>
    <w:tmpl w:val="FB8A89DE"/>
    <w:lvl w:ilvl="0" w:tplc="280A0013">
      <w:start w:val="1"/>
      <w:numFmt w:val="upperRoman"/>
      <w:lvlText w:val="%1."/>
      <w:lvlJc w:val="right"/>
      <w:pPr>
        <w:ind w:left="720" w:hanging="360"/>
      </w:pPr>
      <w:rPr>
        <w:rFonts w:cs="Times New Roman"/>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
    <w:nsid w:val="15371EED"/>
    <w:multiLevelType w:val="hybridMultilevel"/>
    <w:tmpl w:val="24F430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6723E79"/>
    <w:multiLevelType w:val="hybridMultilevel"/>
    <w:tmpl w:val="9B688B20"/>
    <w:lvl w:ilvl="0" w:tplc="EA9C13FE">
      <w:start w:val="1"/>
      <w:numFmt w:val="upperLetter"/>
      <w:lvlText w:val="%1."/>
      <w:lvlJc w:val="left"/>
      <w:pPr>
        <w:ind w:left="720" w:hanging="360"/>
      </w:pPr>
      <w:rPr>
        <w:rFonts w:cs="Times New Roman" w:hint="default"/>
        <w:b w:val="0"/>
        <w:vertAlign w:val="baseli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
    <w:nsid w:val="1DFD1C95"/>
    <w:multiLevelType w:val="hybridMultilevel"/>
    <w:tmpl w:val="0B529E0E"/>
    <w:lvl w:ilvl="0" w:tplc="B15EE684">
      <w:start w:val="1"/>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7">
    <w:nsid w:val="24046EF7"/>
    <w:multiLevelType w:val="hybridMultilevel"/>
    <w:tmpl w:val="27B25EA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27825649"/>
    <w:multiLevelType w:val="hybridMultilevel"/>
    <w:tmpl w:val="DC1239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2A500A1E"/>
    <w:multiLevelType w:val="hybridMultilevel"/>
    <w:tmpl w:val="8D78D3E0"/>
    <w:lvl w:ilvl="0" w:tplc="C3088080">
      <w:start w:val="1"/>
      <w:numFmt w:val="upp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0">
    <w:nsid w:val="2F366043"/>
    <w:multiLevelType w:val="hybridMultilevel"/>
    <w:tmpl w:val="580AE1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5F116DB"/>
    <w:multiLevelType w:val="hybridMultilevel"/>
    <w:tmpl w:val="EADC928E"/>
    <w:lvl w:ilvl="0" w:tplc="5BF2D7CC">
      <w:start w:val="1"/>
      <w:numFmt w:val="bullet"/>
      <w:lvlText w:val=""/>
      <w:lvlJc w:val="left"/>
      <w:pPr>
        <w:ind w:left="855" w:hanging="360"/>
      </w:pPr>
      <w:rPr>
        <w:rFonts w:ascii="Wingdings" w:hAnsi="Wingdings" w:hint="default"/>
        <w:b/>
        <w:i w:val="0"/>
        <w:color w:val="auto"/>
        <w:sz w:val="22"/>
      </w:rPr>
    </w:lvl>
    <w:lvl w:ilvl="1" w:tplc="280A0003">
      <w:start w:val="1"/>
      <w:numFmt w:val="bullet"/>
      <w:lvlText w:val="o"/>
      <w:lvlJc w:val="left"/>
      <w:pPr>
        <w:ind w:left="1575" w:hanging="360"/>
      </w:pPr>
      <w:rPr>
        <w:rFonts w:ascii="Courier New" w:hAnsi="Courier New" w:hint="default"/>
      </w:rPr>
    </w:lvl>
    <w:lvl w:ilvl="2" w:tplc="280A0005">
      <w:start w:val="1"/>
      <w:numFmt w:val="bullet"/>
      <w:lvlText w:val=""/>
      <w:lvlJc w:val="left"/>
      <w:pPr>
        <w:ind w:left="2295" w:hanging="360"/>
      </w:pPr>
      <w:rPr>
        <w:rFonts w:ascii="Wingdings" w:hAnsi="Wingdings" w:hint="default"/>
      </w:rPr>
    </w:lvl>
    <w:lvl w:ilvl="3" w:tplc="280A0001">
      <w:start w:val="1"/>
      <w:numFmt w:val="bullet"/>
      <w:lvlText w:val=""/>
      <w:lvlJc w:val="left"/>
      <w:pPr>
        <w:ind w:left="3015" w:hanging="360"/>
      </w:pPr>
      <w:rPr>
        <w:rFonts w:ascii="Symbol" w:hAnsi="Symbol" w:hint="default"/>
      </w:rPr>
    </w:lvl>
    <w:lvl w:ilvl="4" w:tplc="280A0003">
      <w:start w:val="1"/>
      <w:numFmt w:val="bullet"/>
      <w:lvlText w:val="o"/>
      <w:lvlJc w:val="left"/>
      <w:pPr>
        <w:ind w:left="3735" w:hanging="360"/>
      </w:pPr>
      <w:rPr>
        <w:rFonts w:ascii="Courier New" w:hAnsi="Courier New" w:hint="default"/>
      </w:rPr>
    </w:lvl>
    <w:lvl w:ilvl="5" w:tplc="280A0005">
      <w:start w:val="1"/>
      <w:numFmt w:val="bullet"/>
      <w:lvlText w:val=""/>
      <w:lvlJc w:val="left"/>
      <w:pPr>
        <w:ind w:left="4455" w:hanging="360"/>
      </w:pPr>
      <w:rPr>
        <w:rFonts w:ascii="Wingdings" w:hAnsi="Wingdings" w:hint="default"/>
      </w:rPr>
    </w:lvl>
    <w:lvl w:ilvl="6" w:tplc="280A0001">
      <w:start w:val="1"/>
      <w:numFmt w:val="bullet"/>
      <w:lvlText w:val=""/>
      <w:lvlJc w:val="left"/>
      <w:pPr>
        <w:ind w:left="5175" w:hanging="360"/>
      </w:pPr>
      <w:rPr>
        <w:rFonts w:ascii="Symbol" w:hAnsi="Symbol" w:hint="default"/>
      </w:rPr>
    </w:lvl>
    <w:lvl w:ilvl="7" w:tplc="280A0003">
      <w:start w:val="1"/>
      <w:numFmt w:val="bullet"/>
      <w:lvlText w:val="o"/>
      <w:lvlJc w:val="left"/>
      <w:pPr>
        <w:ind w:left="5895" w:hanging="360"/>
      </w:pPr>
      <w:rPr>
        <w:rFonts w:ascii="Courier New" w:hAnsi="Courier New" w:hint="default"/>
      </w:rPr>
    </w:lvl>
    <w:lvl w:ilvl="8" w:tplc="280A0005">
      <w:start w:val="1"/>
      <w:numFmt w:val="bullet"/>
      <w:lvlText w:val=""/>
      <w:lvlJc w:val="left"/>
      <w:pPr>
        <w:ind w:left="6615" w:hanging="360"/>
      </w:pPr>
      <w:rPr>
        <w:rFonts w:ascii="Wingdings" w:hAnsi="Wingdings" w:hint="default"/>
      </w:rPr>
    </w:lvl>
  </w:abstractNum>
  <w:abstractNum w:abstractNumId="12">
    <w:nsid w:val="3655294F"/>
    <w:multiLevelType w:val="hybridMultilevel"/>
    <w:tmpl w:val="D01A1A4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C346497"/>
    <w:multiLevelType w:val="hybridMultilevel"/>
    <w:tmpl w:val="95902A82"/>
    <w:lvl w:ilvl="0" w:tplc="003EAB84">
      <w:start w:val="1"/>
      <w:numFmt w:val="decimal"/>
      <w:lvlText w:val="%1."/>
      <w:lvlJc w:val="left"/>
      <w:pPr>
        <w:ind w:left="1068" w:hanging="360"/>
      </w:pPr>
      <w:rPr>
        <w:rFonts w:cs="Times New Roman" w:hint="default"/>
        <w:b w:val="0"/>
      </w:rPr>
    </w:lvl>
    <w:lvl w:ilvl="1" w:tplc="280A0019">
      <w:start w:val="1"/>
      <w:numFmt w:val="lowerLetter"/>
      <w:lvlText w:val="%2."/>
      <w:lvlJc w:val="left"/>
      <w:pPr>
        <w:ind w:left="1788" w:hanging="360"/>
      </w:pPr>
      <w:rPr>
        <w:rFonts w:cs="Times New Roman"/>
      </w:rPr>
    </w:lvl>
    <w:lvl w:ilvl="2" w:tplc="280A001B">
      <w:start w:val="1"/>
      <w:numFmt w:val="lowerRoman"/>
      <w:lvlText w:val="%3."/>
      <w:lvlJc w:val="right"/>
      <w:pPr>
        <w:ind w:left="2508" w:hanging="180"/>
      </w:pPr>
      <w:rPr>
        <w:rFonts w:cs="Times New Roman"/>
      </w:rPr>
    </w:lvl>
    <w:lvl w:ilvl="3" w:tplc="280A000F">
      <w:start w:val="1"/>
      <w:numFmt w:val="decimal"/>
      <w:lvlText w:val="%4."/>
      <w:lvlJc w:val="left"/>
      <w:pPr>
        <w:ind w:left="3228" w:hanging="360"/>
      </w:pPr>
      <w:rPr>
        <w:rFonts w:cs="Times New Roman"/>
      </w:rPr>
    </w:lvl>
    <w:lvl w:ilvl="4" w:tplc="280A0019">
      <w:start w:val="1"/>
      <w:numFmt w:val="lowerLetter"/>
      <w:lvlText w:val="%5."/>
      <w:lvlJc w:val="left"/>
      <w:pPr>
        <w:ind w:left="3948" w:hanging="360"/>
      </w:pPr>
      <w:rPr>
        <w:rFonts w:cs="Times New Roman"/>
      </w:rPr>
    </w:lvl>
    <w:lvl w:ilvl="5" w:tplc="280A001B">
      <w:start w:val="1"/>
      <w:numFmt w:val="lowerRoman"/>
      <w:lvlText w:val="%6."/>
      <w:lvlJc w:val="right"/>
      <w:pPr>
        <w:ind w:left="4668" w:hanging="180"/>
      </w:pPr>
      <w:rPr>
        <w:rFonts w:cs="Times New Roman"/>
      </w:rPr>
    </w:lvl>
    <w:lvl w:ilvl="6" w:tplc="280A000F">
      <w:start w:val="1"/>
      <w:numFmt w:val="decimal"/>
      <w:lvlText w:val="%7."/>
      <w:lvlJc w:val="left"/>
      <w:pPr>
        <w:ind w:left="5388" w:hanging="360"/>
      </w:pPr>
      <w:rPr>
        <w:rFonts w:cs="Times New Roman"/>
      </w:rPr>
    </w:lvl>
    <w:lvl w:ilvl="7" w:tplc="280A0019">
      <w:start w:val="1"/>
      <w:numFmt w:val="lowerLetter"/>
      <w:lvlText w:val="%8."/>
      <w:lvlJc w:val="left"/>
      <w:pPr>
        <w:ind w:left="6108" w:hanging="360"/>
      </w:pPr>
      <w:rPr>
        <w:rFonts w:cs="Times New Roman"/>
      </w:rPr>
    </w:lvl>
    <w:lvl w:ilvl="8" w:tplc="280A001B">
      <w:start w:val="1"/>
      <w:numFmt w:val="lowerRoman"/>
      <w:lvlText w:val="%9."/>
      <w:lvlJc w:val="right"/>
      <w:pPr>
        <w:ind w:left="6828" w:hanging="180"/>
      </w:pPr>
      <w:rPr>
        <w:rFonts w:cs="Times New Roman"/>
      </w:rPr>
    </w:lvl>
  </w:abstractNum>
  <w:abstractNum w:abstractNumId="14">
    <w:nsid w:val="3D187A78"/>
    <w:multiLevelType w:val="hybridMultilevel"/>
    <w:tmpl w:val="CCF0C87E"/>
    <w:lvl w:ilvl="0" w:tplc="280A000F">
      <w:start w:val="1"/>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5">
    <w:nsid w:val="3E230B51"/>
    <w:multiLevelType w:val="hybridMultilevel"/>
    <w:tmpl w:val="7EAE7ABC"/>
    <w:lvl w:ilvl="0" w:tplc="BC2C8868">
      <w:start w:val="1"/>
      <w:numFmt w:val="lowerRoman"/>
      <w:lvlText w:val="%1)"/>
      <w:lvlJc w:val="left"/>
      <w:pPr>
        <w:ind w:left="1428" w:hanging="720"/>
      </w:pPr>
      <w:rPr>
        <w:rFonts w:cs="Times New Roman" w:hint="default"/>
      </w:rPr>
    </w:lvl>
    <w:lvl w:ilvl="1" w:tplc="280A0019">
      <w:start w:val="1"/>
      <w:numFmt w:val="lowerLetter"/>
      <w:lvlText w:val="%2."/>
      <w:lvlJc w:val="left"/>
      <w:pPr>
        <w:ind w:left="1788" w:hanging="360"/>
      </w:pPr>
      <w:rPr>
        <w:rFonts w:cs="Times New Roman"/>
      </w:rPr>
    </w:lvl>
    <w:lvl w:ilvl="2" w:tplc="280A001B">
      <w:start w:val="1"/>
      <w:numFmt w:val="lowerRoman"/>
      <w:lvlText w:val="%3."/>
      <w:lvlJc w:val="right"/>
      <w:pPr>
        <w:ind w:left="2508" w:hanging="180"/>
      </w:pPr>
      <w:rPr>
        <w:rFonts w:cs="Times New Roman"/>
      </w:rPr>
    </w:lvl>
    <w:lvl w:ilvl="3" w:tplc="280A000F">
      <w:start w:val="1"/>
      <w:numFmt w:val="decimal"/>
      <w:lvlText w:val="%4."/>
      <w:lvlJc w:val="left"/>
      <w:pPr>
        <w:ind w:left="3228" w:hanging="360"/>
      </w:pPr>
      <w:rPr>
        <w:rFonts w:cs="Times New Roman"/>
      </w:rPr>
    </w:lvl>
    <w:lvl w:ilvl="4" w:tplc="280A0019">
      <w:start w:val="1"/>
      <w:numFmt w:val="lowerLetter"/>
      <w:lvlText w:val="%5."/>
      <w:lvlJc w:val="left"/>
      <w:pPr>
        <w:ind w:left="3948" w:hanging="360"/>
      </w:pPr>
      <w:rPr>
        <w:rFonts w:cs="Times New Roman"/>
      </w:rPr>
    </w:lvl>
    <w:lvl w:ilvl="5" w:tplc="280A001B">
      <w:start w:val="1"/>
      <w:numFmt w:val="lowerRoman"/>
      <w:lvlText w:val="%6."/>
      <w:lvlJc w:val="right"/>
      <w:pPr>
        <w:ind w:left="4668" w:hanging="180"/>
      </w:pPr>
      <w:rPr>
        <w:rFonts w:cs="Times New Roman"/>
      </w:rPr>
    </w:lvl>
    <w:lvl w:ilvl="6" w:tplc="280A000F">
      <w:start w:val="1"/>
      <w:numFmt w:val="decimal"/>
      <w:lvlText w:val="%7."/>
      <w:lvlJc w:val="left"/>
      <w:pPr>
        <w:ind w:left="5388" w:hanging="360"/>
      </w:pPr>
      <w:rPr>
        <w:rFonts w:cs="Times New Roman"/>
      </w:rPr>
    </w:lvl>
    <w:lvl w:ilvl="7" w:tplc="280A0019">
      <w:start w:val="1"/>
      <w:numFmt w:val="lowerLetter"/>
      <w:lvlText w:val="%8."/>
      <w:lvlJc w:val="left"/>
      <w:pPr>
        <w:ind w:left="6108" w:hanging="360"/>
      </w:pPr>
      <w:rPr>
        <w:rFonts w:cs="Times New Roman"/>
      </w:rPr>
    </w:lvl>
    <w:lvl w:ilvl="8" w:tplc="280A001B">
      <w:start w:val="1"/>
      <w:numFmt w:val="lowerRoman"/>
      <w:lvlText w:val="%9."/>
      <w:lvlJc w:val="right"/>
      <w:pPr>
        <w:ind w:left="6828" w:hanging="180"/>
      </w:pPr>
      <w:rPr>
        <w:rFonts w:cs="Times New Roman"/>
      </w:rPr>
    </w:lvl>
  </w:abstractNum>
  <w:abstractNum w:abstractNumId="16">
    <w:nsid w:val="41964848"/>
    <w:multiLevelType w:val="hybridMultilevel"/>
    <w:tmpl w:val="79D2EA8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41C437A7"/>
    <w:multiLevelType w:val="hybridMultilevel"/>
    <w:tmpl w:val="827A221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428E7209"/>
    <w:multiLevelType w:val="hybridMultilevel"/>
    <w:tmpl w:val="10D4E552"/>
    <w:lvl w:ilvl="0" w:tplc="280A0013">
      <w:start w:val="1"/>
      <w:numFmt w:val="upperRoman"/>
      <w:lvlText w:val="%1."/>
      <w:lvlJc w:val="right"/>
      <w:pPr>
        <w:ind w:left="1080" w:hanging="360"/>
      </w:pPr>
      <w:rPr>
        <w:rFonts w:cs="Times New Roman"/>
      </w:rPr>
    </w:lvl>
    <w:lvl w:ilvl="1" w:tplc="280A0019">
      <w:start w:val="1"/>
      <w:numFmt w:val="lowerLetter"/>
      <w:lvlText w:val="%2."/>
      <w:lvlJc w:val="left"/>
      <w:pPr>
        <w:ind w:left="1800" w:hanging="360"/>
      </w:pPr>
      <w:rPr>
        <w:rFonts w:cs="Times New Roman"/>
      </w:rPr>
    </w:lvl>
    <w:lvl w:ilvl="2" w:tplc="280A001B">
      <w:start w:val="1"/>
      <w:numFmt w:val="lowerRoman"/>
      <w:lvlText w:val="%3."/>
      <w:lvlJc w:val="right"/>
      <w:pPr>
        <w:ind w:left="2520" w:hanging="180"/>
      </w:pPr>
      <w:rPr>
        <w:rFonts w:cs="Times New Roman"/>
      </w:rPr>
    </w:lvl>
    <w:lvl w:ilvl="3" w:tplc="280A000F">
      <w:start w:val="1"/>
      <w:numFmt w:val="decimal"/>
      <w:lvlText w:val="%4."/>
      <w:lvlJc w:val="left"/>
      <w:pPr>
        <w:ind w:left="3240" w:hanging="360"/>
      </w:pPr>
      <w:rPr>
        <w:rFonts w:cs="Times New Roman"/>
      </w:rPr>
    </w:lvl>
    <w:lvl w:ilvl="4" w:tplc="280A0019">
      <w:start w:val="1"/>
      <w:numFmt w:val="lowerLetter"/>
      <w:lvlText w:val="%5."/>
      <w:lvlJc w:val="left"/>
      <w:pPr>
        <w:ind w:left="3960" w:hanging="360"/>
      </w:pPr>
      <w:rPr>
        <w:rFonts w:cs="Times New Roman"/>
      </w:rPr>
    </w:lvl>
    <w:lvl w:ilvl="5" w:tplc="280A001B">
      <w:start w:val="1"/>
      <w:numFmt w:val="lowerRoman"/>
      <w:lvlText w:val="%6."/>
      <w:lvlJc w:val="right"/>
      <w:pPr>
        <w:ind w:left="4680" w:hanging="180"/>
      </w:pPr>
      <w:rPr>
        <w:rFonts w:cs="Times New Roman"/>
      </w:rPr>
    </w:lvl>
    <w:lvl w:ilvl="6" w:tplc="280A000F">
      <w:start w:val="1"/>
      <w:numFmt w:val="decimal"/>
      <w:lvlText w:val="%7."/>
      <w:lvlJc w:val="left"/>
      <w:pPr>
        <w:ind w:left="5400" w:hanging="360"/>
      </w:pPr>
      <w:rPr>
        <w:rFonts w:cs="Times New Roman"/>
      </w:rPr>
    </w:lvl>
    <w:lvl w:ilvl="7" w:tplc="280A0019">
      <w:start w:val="1"/>
      <w:numFmt w:val="lowerLetter"/>
      <w:lvlText w:val="%8."/>
      <w:lvlJc w:val="left"/>
      <w:pPr>
        <w:ind w:left="6120" w:hanging="360"/>
      </w:pPr>
      <w:rPr>
        <w:rFonts w:cs="Times New Roman"/>
      </w:rPr>
    </w:lvl>
    <w:lvl w:ilvl="8" w:tplc="280A001B">
      <w:start w:val="1"/>
      <w:numFmt w:val="lowerRoman"/>
      <w:lvlText w:val="%9."/>
      <w:lvlJc w:val="right"/>
      <w:pPr>
        <w:ind w:left="6840" w:hanging="180"/>
      </w:pPr>
      <w:rPr>
        <w:rFonts w:cs="Times New Roman"/>
      </w:rPr>
    </w:lvl>
  </w:abstractNum>
  <w:abstractNum w:abstractNumId="19">
    <w:nsid w:val="452720F4"/>
    <w:multiLevelType w:val="hybridMultilevel"/>
    <w:tmpl w:val="B82625E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4C245737"/>
    <w:multiLevelType w:val="hybridMultilevel"/>
    <w:tmpl w:val="586ECB0A"/>
    <w:lvl w:ilvl="0" w:tplc="28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4D8B19BF"/>
    <w:multiLevelType w:val="hybridMultilevel"/>
    <w:tmpl w:val="E940CA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4E0A251B"/>
    <w:multiLevelType w:val="hybridMultilevel"/>
    <w:tmpl w:val="0B529E0E"/>
    <w:lvl w:ilvl="0" w:tplc="B15EE684">
      <w:start w:val="1"/>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3">
    <w:nsid w:val="5D264537"/>
    <w:multiLevelType w:val="hybridMultilevel"/>
    <w:tmpl w:val="2B7C94A6"/>
    <w:lvl w:ilvl="0" w:tplc="280A001B">
      <w:start w:val="1"/>
      <w:numFmt w:val="lowerRoman"/>
      <w:lvlText w:val="%1."/>
      <w:lvlJc w:val="right"/>
      <w:pPr>
        <w:ind w:left="360" w:hanging="360"/>
      </w:pPr>
      <w:rPr>
        <w:rFonts w:cs="Times New Roman"/>
      </w:rPr>
    </w:lvl>
    <w:lvl w:ilvl="1" w:tplc="280A0019">
      <w:start w:val="1"/>
      <w:numFmt w:val="lowerLetter"/>
      <w:lvlText w:val="%2."/>
      <w:lvlJc w:val="left"/>
      <w:pPr>
        <w:ind w:left="1080" w:hanging="360"/>
      </w:pPr>
      <w:rPr>
        <w:rFonts w:cs="Times New Roman"/>
      </w:rPr>
    </w:lvl>
    <w:lvl w:ilvl="2" w:tplc="280A001B">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start w:val="1"/>
      <w:numFmt w:val="lowerLetter"/>
      <w:lvlText w:val="%5."/>
      <w:lvlJc w:val="left"/>
      <w:pPr>
        <w:ind w:left="3240" w:hanging="360"/>
      </w:pPr>
      <w:rPr>
        <w:rFonts w:cs="Times New Roman"/>
      </w:rPr>
    </w:lvl>
    <w:lvl w:ilvl="5" w:tplc="280A001B">
      <w:start w:val="1"/>
      <w:numFmt w:val="lowerRoman"/>
      <w:lvlText w:val="%6."/>
      <w:lvlJc w:val="right"/>
      <w:pPr>
        <w:ind w:left="3960" w:hanging="180"/>
      </w:pPr>
      <w:rPr>
        <w:rFonts w:cs="Times New Roman"/>
      </w:rPr>
    </w:lvl>
    <w:lvl w:ilvl="6" w:tplc="280A000F">
      <w:start w:val="1"/>
      <w:numFmt w:val="decimal"/>
      <w:lvlText w:val="%7."/>
      <w:lvlJc w:val="left"/>
      <w:pPr>
        <w:ind w:left="4680" w:hanging="360"/>
      </w:pPr>
      <w:rPr>
        <w:rFonts w:cs="Times New Roman"/>
      </w:rPr>
    </w:lvl>
    <w:lvl w:ilvl="7" w:tplc="280A0019">
      <w:start w:val="1"/>
      <w:numFmt w:val="lowerLetter"/>
      <w:lvlText w:val="%8."/>
      <w:lvlJc w:val="left"/>
      <w:pPr>
        <w:ind w:left="5400" w:hanging="360"/>
      </w:pPr>
      <w:rPr>
        <w:rFonts w:cs="Times New Roman"/>
      </w:rPr>
    </w:lvl>
    <w:lvl w:ilvl="8" w:tplc="280A001B">
      <w:start w:val="1"/>
      <w:numFmt w:val="lowerRoman"/>
      <w:lvlText w:val="%9."/>
      <w:lvlJc w:val="right"/>
      <w:pPr>
        <w:ind w:left="6120" w:hanging="180"/>
      </w:pPr>
      <w:rPr>
        <w:rFonts w:cs="Times New Roman"/>
      </w:rPr>
    </w:lvl>
  </w:abstractNum>
  <w:abstractNum w:abstractNumId="24">
    <w:nsid w:val="601E2AAD"/>
    <w:multiLevelType w:val="hybridMultilevel"/>
    <w:tmpl w:val="B22CC3F2"/>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rPr>
    </w:lvl>
    <w:lvl w:ilvl="4" w:tplc="0C0A0003">
      <w:start w:val="1"/>
      <w:numFmt w:val="bullet"/>
      <w:lvlText w:val="o"/>
      <w:lvlJc w:val="left"/>
      <w:pPr>
        <w:tabs>
          <w:tab w:val="num" w:pos="4680"/>
        </w:tabs>
        <w:ind w:left="4680" w:hanging="360"/>
      </w:pPr>
      <w:rPr>
        <w:rFonts w:ascii="Courier New" w:hAnsi="Courier New" w:hint="default"/>
      </w:rPr>
    </w:lvl>
    <w:lvl w:ilvl="5" w:tplc="0C0A0005">
      <w:start w:val="1"/>
      <w:numFmt w:val="bullet"/>
      <w:lvlText w:val=""/>
      <w:lvlJc w:val="left"/>
      <w:pPr>
        <w:tabs>
          <w:tab w:val="num" w:pos="5400"/>
        </w:tabs>
        <w:ind w:left="5400" w:hanging="360"/>
      </w:pPr>
      <w:rPr>
        <w:rFonts w:ascii="Wingdings" w:hAnsi="Wingdings" w:hint="default"/>
      </w:rPr>
    </w:lvl>
    <w:lvl w:ilvl="6" w:tplc="0C0A0001">
      <w:start w:val="1"/>
      <w:numFmt w:val="bullet"/>
      <w:lvlText w:val=""/>
      <w:lvlJc w:val="left"/>
      <w:pPr>
        <w:tabs>
          <w:tab w:val="num" w:pos="6120"/>
        </w:tabs>
        <w:ind w:left="6120" w:hanging="360"/>
      </w:pPr>
      <w:rPr>
        <w:rFonts w:ascii="Symbol" w:hAnsi="Symbol" w:hint="default"/>
      </w:rPr>
    </w:lvl>
    <w:lvl w:ilvl="7" w:tplc="0C0A0003">
      <w:start w:val="1"/>
      <w:numFmt w:val="bullet"/>
      <w:lvlText w:val="o"/>
      <w:lvlJc w:val="left"/>
      <w:pPr>
        <w:tabs>
          <w:tab w:val="num" w:pos="6840"/>
        </w:tabs>
        <w:ind w:left="6840" w:hanging="360"/>
      </w:pPr>
      <w:rPr>
        <w:rFonts w:ascii="Courier New" w:hAnsi="Courier New" w:hint="default"/>
      </w:rPr>
    </w:lvl>
    <w:lvl w:ilvl="8" w:tplc="0C0A0005">
      <w:start w:val="1"/>
      <w:numFmt w:val="bullet"/>
      <w:lvlText w:val=""/>
      <w:lvlJc w:val="left"/>
      <w:pPr>
        <w:tabs>
          <w:tab w:val="num" w:pos="7560"/>
        </w:tabs>
        <w:ind w:left="7560" w:hanging="360"/>
      </w:pPr>
      <w:rPr>
        <w:rFonts w:ascii="Wingdings" w:hAnsi="Wingdings" w:hint="default"/>
      </w:rPr>
    </w:lvl>
  </w:abstractNum>
  <w:abstractNum w:abstractNumId="25">
    <w:nsid w:val="60B302F0"/>
    <w:multiLevelType w:val="hybridMultilevel"/>
    <w:tmpl w:val="EB08201E"/>
    <w:lvl w:ilvl="0" w:tplc="280A0015">
      <w:start w:val="1"/>
      <w:numFmt w:val="upp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6">
    <w:nsid w:val="62A35552"/>
    <w:multiLevelType w:val="hybridMultilevel"/>
    <w:tmpl w:val="F5380C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7">
    <w:nsid w:val="6DB472B8"/>
    <w:multiLevelType w:val="hybridMultilevel"/>
    <w:tmpl w:val="6106AD58"/>
    <w:lvl w:ilvl="0" w:tplc="5BF2D7CC">
      <w:start w:val="1"/>
      <w:numFmt w:val="bullet"/>
      <w:lvlText w:val=""/>
      <w:lvlJc w:val="left"/>
      <w:pPr>
        <w:tabs>
          <w:tab w:val="num" w:pos="720"/>
        </w:tabs>
        <w:ind w:left="720" w:hanging="360"/>
      </w:pPr>
      <w:rPr>
        <w:rFonts w:ascii="Wingdings" w:hAnsi="Wingdings" w:hint="default"/>
        <w:b/>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8">
    <w:nsid w:val="6F2A7FDA"/>
    <w:multiLevelType w:val="hybridMultilevel"/>
    <w:tmpl w:val="32F67C4A"/>
    <w:lvl w:ilvl="0" w:tplc="5BF2D7CC">
      <w:start w:val="1"/>
      <w:numFmt w:val="bullet"/>
      <w:lvlText w:val=""/>
      <w:lvlJc w:val="left"/>
      <w:pPr>
        <w:ind w:left="810" w:hanging="360"/>
      </w:pPr>
      <w:rPr>
        <w:rFonts w:ascii="Wingdings" w:hAnsi="Wingdings" w:hint="default"/>
        <w:b/>
        <w:i w:val="0"/>
        <w:color w:val="auto"/>
        <w:sz w:val="22"/>
      </w:rPr>
    </w:lvl>
    <w:lvl w:ilvl="1" w:tplc="280A0003">
      <w:start w:val="1"/>
      <w:numFmt w:val="bullet"/>
      <w:lvlText w:val="o"/>
      <w:lvlJc w:val="left"/>
      <w:pPr>
        <w:ind w:left="1530" w:hanging="360"/>
      </w:pPr>
      <w:rPr>
        <w:rFonts w:ascii="Courier New" w:hAnsi="Courier New" w:hint="default"/>
      </w:rPr>
    </w:lvl>
    <w:lvl w:ilvl="2" w:tplc="280A0005">
      <w:start w:val="1"/>
      <w:numFmt w:val="bullet"/>
      <w:lvlText w:val=""/>
      <w:lvlJc w:val="left"/>
      <w:pPr>
        <w:ind w:left="2250" w:hanging="360"/>
      </w:pPr>
      <w:rPr>
        <w:rFonts w:ascii="Wingdings" w:hAnsi="Wingdings" w:hint="default"/>
      </w:rPr>
    </w:lvl>
    <w:lvl w:ilvl="3" w:tplc="280A0001">
      <w:start w:val="1"/>
      <w:numFmt w:val="bullet"/>
      <w:lvlText w:val=""/>
      <w:lvlJc w:val="left"/>
      <w:pPr>
        <w:ind w:left="2970" w:hanging="360"/>
      </w:pPr>
      <w:rPr>
        <w:rFonts w:ascii="Symbol" w:hAnsi="Symbol" w:hint="default"/>
      </w:rPr>
    </w:lvl>
    <w:lvl w:ilvl="4" w:tplc="280A0003">
      <w:start w:val="1"/>
      <w:numFmt w:val="bullet"/>
      <w:lvlText w:val="o"/>
      <w:lvlJc w:val="left"/>
      <w:pPr>
        <w:ind w:left="3690" w:hanging="360"/>
      </w:pPr>
      <w:rPr>
        <w:rFonts w:ascii="Courier New" w:hAnsi="Courier New" w:hint="default"/>
      </w:rPr>
    </w:lvl>
    <w:lvl w:ilvl="5" w:tplc="280A0005">
      <w:start w:val="1"/>
      <w:numFmt w:val="bullet"/>
      <w:lvlText w:val=""/>
      <w:lvlJc w:val="left"/>
      <w:pPr>
        <w:ind w:left="4410" w:hanging="360"/>
      </w:pPr>
      <w:rPr>
        <w:rFonts w:ascii="Wingdings" w:hAnsi="Wingdings" w:hint="default"/>
      </w:rPr>
    </w:lvl>
    <w:lvl w:ilvl="6" w:tplc="280A0001">
      <w:start w:val="1"/>
      <w:numFmt w:val="bullet"/>
      <w:lvlText w:val=""/>
      <w:lvlJc w:val="left"/>
      <w:pPr>
        <w:ind w:left="5130" w:hanging="360"/>
      </w:pPr>
      <w:rPr>
        <w:rFonts w:ascii="Symbol" w:hAnsi="Symbol" w:hint="default"/>
      </w:rPr>
    </w:lvl>
    <w:lvl w:ilvl="7" w:tplc="280A0003">
      <w:start w:val="1"/>
      <w:numFmt w:val="bullet"/>
      <w:lvlText w:val="o"/>
      <w:lvlJc w:val="left"/>
      <w:pPr>
        <w:ind w:left="5850" w:hanging="360"/>
      </w:pPr>
      <w:rPr>
        <w:rFonts w:ascii="Courier New" w:hAnsi="Courier New" w:hint="default"/>
      </w:rPr>
    </w:lvl>
    <w:lvl w:ilvl="8" w:tplc="280A0005">
      <w:start w:val="1"/>
      <w:numFmt w:val="bullet"/>
      <w:lvlText w:val=""/>
      <w:lvlJc w:val="left"/>
      <w:pPr>
        <w:ind w:left="6570" w:hanging="360"/>
      </w:pPr>
      <w:rPr>
        <w:rFonts w:ascii="Wingdings" w:hAnsi="Wingdings" w:hint="default"/>
      </w:rPr>
    </w:lvl>
  </w:abstractNum>
  <w:abstractNum w:abstractNumId="29">
    <w:nsid w:val="71657525"/>
    <w:multiLevelType w:val="hybridMultilevel"/>
    <w:tmpl w:val="7EAE7ABC"/>
    <w:lvl w:ilvl="0" w:tplc="BC2C8868">
      <w:start w:val="1"/>
      <w:numFmt w:val="lowerRoman"/>
      <w:lvlText w:val="%1)"/>
      <w:lvlJc w:val="left"/>
      <w:pPr>
        <w:ind w:left="1428" w:hanging="720"/>
      </w:pPr>
      <w:rPr>
        <w:rFonts w:cs="Times New Roman" w:hint="default"/>
      </w:rPr>
    </w:lvl>
    <w:lvl w:ilvl="1" w:tplc="280A0019">
      <w:start w:val="1"/>
      <w:numFmt w:val="lowerLetter"/>
      <w:lvlText w:val="%2."/>
      <w:lvlJc w:val="left"/>
      <w:pPr>
        <w:ind w:left="1788" w:hanging="360"/>
      </w:pPr>
      <w:rPr>
        <w:rFonts w:cs="Times New Roman"/>
      </w:rPr>
    </w:lvl>
    <w:lvl w:ilvl="2" w:tplc="280A001B">
      <w:start w:val="1"/>
      <w:numFmt w:val="lowerRoman"/>
      <w:lvlText w:val="%3."/>
      <w:lvlJc w:val="right"/>
      <w:pPr>
        <w:ind w:left="2508" w:hanging="180"/>
      </w:pPr>
      <w:rPr>
        <w:rFonts w:cs="Times New Roman"/>
      </w:rPr>
    </w:lvl>
    <w:lvl w:ilvl="3" w:tplc="280A000F">
      <w:start w:val="1"/>
      <w:numFmt w:val="decimal"/>
      <w:lvlText w:val="%4."/>
      <w:lvlJc w:val="left"/>
      <w:pPr>
        <w:ind w:left="3228" w:hanging="360"/>
      </w:pPr>
      <w:rPr>
        <w:rFonts w:cs="Times New Roman"/>
      </w:rPr>
    </w:lvl>
    <w:lvl w:ilvl="4" w:tplc="280A0019">
      <w:start w:val="1"/>
      <w:numFmt w:val="lowerLetter"/>
      <w:lvlText w:val="%5."/>
      <w:lvlJc w:val="left"/>
      <w:pPr>
        <w:ind w:left="3948" w:hanging="360"/>
      </w:pPr>
      <w:rPr>
        <w:rFonts w:cs="Times New Roman"/>
      </w:rPr>
    </w:lvl>
    <w:lvl w:ilvl="5" w:tplc="280A001B">
      <w:start w:val="1"/>
      <w:numFmt w:val="lowerRoman"/>
      <w:lvlText w:val="%6."/>
      <w:lvlJc w:val="right"/>
      <w:pPr>
        <w:ind w:left="4668" w:hanging="180"/>
      </w:pPr>
      <w:rPr>
        <w:rFonts w:cs="Times New Roman"/>
      </w:rPr>
    </w:lvl>
    <w:lvl w:ilvl="6" w:tplc="280A000F">
      <w:start w:val="1"/>
      <w:numFmt w:val="decimal"/>
      <w:lvlText w:val="%7."/>
      <w:lvlJc w:val="left"/>
      <w:pPr>
        <w:ind w:left="5388" w:hanging="360"/>
      </w:pPr>
      <w:rPr>
        <w:rFonts w:cs="Times New Roman"/>
      </w:rPr>
    </w:lvl>
    <w:lvl w:ilvl="7" w:tplc="280A0019">
      <w:start w:val="1"/>
      <w:numFmt w:val="lowerLetter"/>
      <w:lvlText w:val="%8."/>
      <w:lvlJc w:val="left"/>
      <w:pPr>
        <w:ind w:left="6108" w:hanging="360"/>
      </w:pPr>
      <w:rPr>
        <w:rFonts w:cs="Times New Roman"/>
      </w:rPr>
    </w:lvl>
    <w:lvl w:ilvl="8" w:tplc="280A001B">
      <w:start w:val="1"/>
      <w:numFmt w:val="lowerRoman"/>
      <w:lvlText w:val="%9."/>
      <w:lvlJc w:val="right"/>
      <w:pPr>
        <w:ind w:left="6828" w:hanging="180"/>
      </w:pPr>
      <w:rPr>
        <w:rFonts w:cs="Times New Roman"/>
      </w:rPr>
    </w:lvl>
  </w:abstractNum>
  <w:abstractNum w:abstractNumId="30">
    <w:nsid w:val="72922A2E"/>
    <w:multiLevelType w:val="hybridMultilevel"/>
    <w:tmpl w:val="D53041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1">
    <w:nsid w:val="73183E74"/>
    <w:multiLevelType w:val="hybridMultilevel"/>
    <w:tmpl w:val="5660365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2">
    <w:nsid w:val="765606BA"/>
    <w:multiLevelType w:val="hybridMultilevel"/>
    <w:tmpl w:val="EB08201E"/>
    <w:lvl w:ilvl="0" w:tplc="280A0015">
      <w:start w:val="1"/>
      <w:numFmt w:val="upp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33">
    <w:nsid w:val="767235F3"/>
    <w:multiLevelType w:val="hybridMultilevel"/>
    <w:tmpl w:val="EA6A6C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78E24DFA"/>
    <w:multiLevelType w:val="hybridMultilevel"/>
    <w:tmpl w:val="58C4AAA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5">
    <w:nsid w:val="79F20C6E"/>
    <w:multiLevelType w:val="hybridMultilevel"/>
    <w:tmpl w:val="B7F48A98"/>
    <w:lvl w:ilvl="0" w:tplc="80166DDA">
      <w:start w:val="1"/>
      <w:numFmt w:val="upperRoman"/>
      <w:lvlText w:val="%1."/>
      <w:lvlJc w:val="left"/>
      <w:pPr>
        <w:ind w:left="1080" w:hanging="720"/>
      </w:pPr>
      <w:rPr>
        <w:rFonts w:cs="Times New Roman" w:hint="default"/>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36">
    <w:nsid w:val="7A684B18"/>
    <w:multiLevelType w:val="hybridMultilevel"/>
    <w:tmpl w:val="331E8364"/>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37">
    <w:nsid w:val="7F826055"/>
    <w:multiLevelType w:val="hybridMultilevel"/>
    <w:tmpl w:val="C49081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8">
    <w:nsid w:val="7F9A18A2"/>
    <w:multiLevelType w:val="hybridMultilevel"/>
    <w:tmpl w:val="46B2A8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8"/>
  </w:num>
  <w:num w:numId="4">
    <w:abstractNumId w:val="33"/>
  </w:num>
  <w:num w:numId="5">
    <w:abstractNumId w:val="38"/>
  </w:num>
  <w:num w:numId="6">
    <w:abstractNumId w:val="24"/>
  </w:num>
  <w:num w:numId="7">
    <w:abstractNumId w:val="4"/>
  </w:num>
  <w:num w:numId="8">
    <w:abstractNumId w:val="37"/>
  </w:num>
  <w:num w:numId="9">
    <w:abstractNumId w:val="7"/>
  </w:num>
  <w:num w:numId="10">
    <w:abstractNumId w:val="20"/>
  </w:num>
  <w:num w:numId="11">
    <w:abstractNumId w:val="30"/>
  </w:num>
  <w:num w:numId="12">
    <w:abstractNumId w:val="17"/>
  </w:num>
  <w:num w:numId="13">
    <w:abstractNumId w:val="21"/>
  </w:num>
  <w:num w:numId="14">
    <w:abstractNumId w:val="32"/>
  </w:num>
  <w:num w:numId="15">
    <w:abstractNumId w:val="25"/>
  </w:num>
  <w:num w:numId="16">
    <w:abstractNumId w:val="13"/>
  </w:num>
  <w:num w:numId="17">
    <w:abstractNumId w:val="23"/>
  </w:num>
  <w:num w:numId="18">
    <w:abstractNumId w:val="22"/>
  </w:num>
  <w:num w:numId="19">
    <w:abstractNumId w:val="9"/>
  </w:num>
  <w:num w:numId="20">
    <w:abstractNumId w:val="6"/>
  </w:num>
  <w:num w:numId="21">
    <w:abstractNumId w:val="5"/>
  </w:num>
  <w:num w:numId="22">
    <w:abstractNumId w:val="31"/>
  </w:num>
  <w:num w:numId="23">
    <w:abstractNumId w:val="36"/>
  </w:num>
  <w:num w:numId="24">
    <w:abstractNumId w:val="34"/>
  </w:num>
  <w:num w:numId="25">
    <w:abstractNumId w:val="16"/>
  </w:num>
  <w:num w:numId="26">
    <w:abstractNumId w:val="26"/>
  </w:num>
  <w:num w:numId="27">
    <w:abstractNumId w:val="2"/>
  </w:num>
  <w:num w:numId="28">
    <w:abstractNumId w:val="35"/>
  </w:num>
  <w:num w:numId="29">
    <w:abstractNumId w:val="12"/>
  </w:num>
  <w:num w:numId="30">
    <w:abstractNumId w:val="1"/>
  </w:num>
  <w:num w:numId="31">
    <w:abstractNumId w:val="14"/>
  </w:num>
  <w:num w:numId="32">
    <w:abstractNumId w:val="0"/>
  </w:num>
  <w:num w:numId="33">
    <w:abstractNumId w:val="15"/>
  </w:num>
  <w:num w:numId="34">
    <w:abstractNumId w:val="29"/>
  </w:num>
  <w:num w:numId="35">
    <w:abstractNumId w:val="27"/>
  </w:num>
  <w:num w:numId="36">
    <w:abstractNumId w:val="18"/>
  </w:num>
  <w:num w:numId="37">
    <w:abstractNumId w:val="3"/>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A7"/>
    <w:rsid w:val="00000EF8"/>
    <w:rsid w:val="000027F0"/>
    <w:rsid w:val="00006382"/>
    <w:rsid w:val="000122FE"/>
    <w:rsid w:val="00013C2B"/>
    <w:rsid w:val="00015440"/>
    <w:rsid w:val="0001788B"/>
    <w:rsid w:val="000202CD"/>
    <w:rsid w:val="00022763"/>
    <w:rsid w:val="000259F2"/>
    <w:rsid w:val="00027FDE"/>
    <w:rsid w:val="000303BF"/>
    <w:rsid w:val="00030403"/>
    <w:rsid w:val="00031947"/>
    <w:rsid w:val="000347F7"/>
    <w:rsid w:val="0003753E"/>
    <w:rsid w:val="000416C9"/>
    <w:rsid w:val="0004400D"/>
    <w:rsid w:val="00046D0C"/>
    <w:rsid w:val="00047A54"/>
    <w:rsid w:val="00050083"/>
    <w:rsid w:val="000540B3"/>
    <w:rsid w:val="00054232"/>
    <w:rsid w:val="000565AD"/>
    <w:rsid w:val="00060DA8"/>
    <w:rsid w:val="00064E2D"/>
    <w:rsid w:val="000747F6"/>
    <w:rsid w:val="00074ED4"/>
    <w:rsid w:val="00075B76"/>
    <w:rsid w:val="00075FB8"/>
    <w:rsid w:val="000760AA"/>
    <w:rsid w:val="000765CC"/>
    <w:rsid w:val="00076750"/>
    <w:rsid w:val="00076C49"/>
    <w:rsid w:val="0007739B"/>
    <w:rsid w:val="000776AC"/>
    <w:rsid w:val="00081951"/>
    <w:rsid w:val="00081BD4"/>
    <w:rsid w:val="00083E1D"/>
    <w:rsid w:val="000901CE"/>
    <w:rsid w:val="000901F5"/>
    <w:rsid w:val="0009597F"/>
    <w:rsid w:val="000A6642"/>
    <w:rsid w:val="000A6BDD"/>
    <w:rsid w:val="000A72BA"/>
    <w:rsid w:val="000B09E7"/>
    <w:rsid w:val="000B0DBA"/>
    <w:rsid w:val="000B1F4E"/>
    <w:rsid w:val="000B20CC"/>
    <w:rsid w:val="000B22E3"/>
    <w:rsid w:val="000B23C5"/>
    <w:rsid w:val="000B533E"/>
    <w:rsid w:val="000B6DB3"/>
    <w:rsid w:val="000C15C2"/>
    <w:rsid w:val="000C15C5"/>
    <w:rsid w:val="000C173F"/>
    <w:rsid w:val="000C1ABD"/>
    <w:rsid w:val="000C29CC"/>
    <w:rsid w:val="000C3696"/>
    <w:rsid w:val="000C3B9C"/>
    <w:rsid w:val="000C4BAD"/>
    <w:rsid w:val="000C6D20"/>
    <w:rsid w:val="000D458D"/>
    <w:rsid w:val="000D5DAA"/>
    <w:rsid w:val="000D7274"/>
    <w:rsid w:val="000D7AA1"/>
    <w:rsid w:val="000E122E"/>
    <w:rsid w:val="000E393A"/>
    <w:rsid w:val="000E5DBC"/>
    <w:rsid w:val="000F0925"/>
    <w:rsid w:val="000F0C0A"/>
    <w:rsid w:val="000F51F2"/>
    <w:rsid w:val="000F7048"/>
    <w:rsid w:val="00100651"/>
    <w:rsid w:val="00101C20"/>
    <w:rsid w:val="00102D4B"/>
    <w:rsid w:val="00103741"/>
    <w:rsid w:val="00103FC2"/>
    <w:rsid w:val="00107502"/>
    <w:rsid w:val="00107B54"/>
    <w:rsid w:val="00110648"/>
    <w:rsid w:val="0011128E"/>
    <w:rsid w:val="00111662"/>
    <w:rsid w:val="0011172A"/>
    <w:rsid w:val="00113B08"/>
    <w:rsid w:val="00114416"/>
    <w:rsid w:val="001156F1"/>
    <w:rsid w:val="00116DA2"/>
    <w:rsid w:val="00123FA4"/>
    <w:rsid w:val="00127A16"/>
    <w:rsid w:val="0013099D"/>
    <w:rsid w:val="00132204"/>
    <w:rsid w:val="001324F8"/>
    <w:rsid w:val="00135C97"/>
    <w:rsid w:val="00136A29"/>
    <w:rsid w:val="00137110"/>
    <w:rsid w:val="00137113"/>
    <w:rsid w:val="00137611"/>
    <w:rsid w:val="00140F50"/>
    <w:rsid w:val="00143A31"/>
    <w:rsid w:val="00150A7D"/>
    <w:rsid w:val="00151E6C"/>
    <w:rsid w:val="00160A12"/>
    <w:rsid w:val="0016303B"/>
    <w:rsid w:val="00164528"/>
    <w:rsid w:val="0016621E"/>
    <w:rsid w:val="001664E2"/>
    <w:rsid w:val="00170DD2"/>
    <w:rsid w:val="00172F75"/>
    <w:rsid w:val="001732C7"/>
    <w:rsid w:val="001736DA"/>
    <w:rsid w:val="00174C89"/>
    <w:rsid w:val="00175AAA"/>
    <w:rsid w:val="0017661C"/>
    <w:rsid w:val="0017704B"/>
    <w:rsid w:val="00180B26"/>
    <w:rsid w:val="00181F3D"/>
    <w:rsid w:val="00185018"/>
    <w:rsid w:val="00185E8E"/>
    <w:rsid w:val="001863AB"/>
    <w:rsid w:val="0018661B"/>
    <w:rsid w:val="0018672D"/>
    <w:rsid w:val="0019156F"/>
    <w:rsid w:val="00191702"/>
    <w:rsid w:val="001927CC"/>
    <w:rsid w:val="0019409A"/>
    <w:rsid w:val="00194461"/>
    <w:rsid w:val="00194A62"/>
    <w:rsid w:val="001A1D14"/>
    <w:rsid w:val="001A3C19"/>
    <w:rsid w:val="001A3E3C"/>
    <w:rsid w:val="001B253F"/>
    <w:rsid w:val="001B35F0"/>
    <w:rsid w:val="001B3FF5"/>
    <w:rsid w:val="001B4B4C"/>
    <w:rsid w:val="001B5008"/>
    <w:rsid w:val="001B5D33"/>
    <w:rsid w:val="001C276A"/>
    <w:rsid w:val="001D0DEC"/>
    <w:rsid w:val="001D19F2"/>
    <w:rsid w:val="001D3758"/>
    <w:rsid w:val="001D6046"/>
    <w:rsid w:val="001E0A4A"/>
    <w:rsid w:val="001E2B47"/>
    <w:rsid w:val="001E3415"/>
    <w:rsid w:val="001E6614"/>
    <w:rsid w:val="001E702C"/>
    <w:rsid w:val="001E786B"/>
    <w:rsid w:val="001F7F3F"/>
    <w:rsid w:val="00200A80"/>
    <w:rsid w:val="00201E7E"/>
    <w:rsid w:val="00203BE1"/>
    <w:rsid w:val="00211F7E"/>
    <w:rsid w:val="002147E5"/>
    <w:rsid w:val="00216521"/>
    <w:rsid w:val="0022404A"/>
    <w:rsid w:val="00224D03"/>
    <w:rsid w:val="002322E3"/>
    <w:rsid w:val="002341FB"/>
    <w:rsid w:val="00234336"/>
    <w:rsid w:val="00234493"/>
    <w:rsid w:val="00235586"/>
    <w:rsid w:val="00241154"/>
    <w:rsid w:val="002441B3"/>
    <w:rsid w:val="002465F8"/>
    <w:rsid w:val="00247B42"/>
    <w:rsid w:val="00250521"/>
    <w:rsid w:val="00253BD6"/>
    <w:rsid w:val="002541AA"/>
    <w:rsid w:val="002551F9"/>
    <w:rsid w:val="0026000B"/>
    <w:rsid w:val="00270884"/>
    <w:rsid w:val="00270B49"/>
    <w:rsid w:val="00270EC8"/>
    <w:rsid w:val="0027273D"/>
    <w:rsid w:val="002810D6"/>
    <w:rsid w:val="002825D1"/>
    <w:rsid w:val="00282EB7"/>
    <w:rsid w:val="00283AC4"/>
    <w:rsid w:val="0028412A"/>
    <w:rsid w:val="0028636C"/>
    <w:rsid w:val="00291D50"/>
    <w:rsid w:val="00293371"/>
    <w:rsid w:val="00294002"/>
    <w:rsid w:val="0029405E"/>
    <w:rsid w:val="00296698"/>
    <w:rsid w:val="0029677B"/>
    <w:rsid w:val="002A3E00"/>
    <w:rsid w:val="002A7367"/>
    <w:rsid w:val="002A7834"/>
    <w:rsid w:val="002B49F8"/>
    <w:rsid w:val="002B5926"/>
    <w:rsid w:val="002C3C26"/>
    <w:rsid w:val="002C43F1"/>
    <w:rsid w:val="002D2449"/>
    <w:rsid w:val="002D4927"/>
    <w:rsid w:val="002D58A1"/>
    <w:rsid w:val="002D66B3"/>
    <w:rsid w:val="002E0A6C"/>
    <w:rsid w:val="002E2DF6"/>
    <w:rsid w:val="002E2ED4"/>
    <w:rsid w:val="002E6C9B"/>
    <w:rsid w:val="002E72B1"/>
    <w:rsid w:val="002E74EC"/>
    <w:rsid w:val="002F1ED4"/>
    <w:rsid w:val="002F40DA"/>
    <w:rsid w:val="002F58D4"/>
    <w:rsid w:val="0030175B"/>
    <w:rsid w:val="00301B98"/>
    <w:rsid w:val="00301E9C"/>
    <w:rsid w:val="003022F3"/>
    <w:rsid w:val="003030D0"/>
    <w:rsid w:val="00303DE4"/>
    <w:rsid w:val="00304B6E"/>
    <w:rsid w:val="003053A0"/>
    <w:rsid w:val="00312A92"/>
    <w:rsid w:val="00316A73"/>
    <w:rsid w:val="003170E8"/>
    <w:rsid w:val="00320F56"/>
    <w:rsid w:val="00324B6D"/>
    <w:rsid w:val="003342B2"/>
    <w:rsid w:val="003358D9"/>
    <w:rsid w:val="00345AD5"/>
    <w:rsid w:val="003500D0"/>
    <w:rsid w:val="0035053F"/>
    <w:rsid w:val="00351E9A"/>
    <w:rsid w:val="00352FFE"/>
    <w:rsid w:val="0035381B"/>
    <w:rsid w:val="00353E15"/>
    <w:rsid w:val="00353ED4"/>
    <w:rsid w:val="0035693A"/>
    <w:rsid w:val="00356BE8"/>
    <w:rsid w:val="0035723C"/>
    <w:rsid w:val="003637E9"/>
    <w:rsid w:val="00365336"/>
    <w:rsid w:val="003662D6"/>
    <w:rsid w:val="00367091"/>
    <w:rsid w:val="00371A80"/>
    <w:rsid w:val="00373E22"/>
    <w:rsid w:val="00373FC1"/>
    <w:rsid w:val="003773F6"/>
    <w:rsid w:val="00377BA6"/>
    <w:rsid w:val="00380954"/>
    <w:rsid w:val="00380ABF"/>
    <w:rsid w:val="00381C1D"/>
    <w:rsid w:val="00383283"/>
    <w:rsid w:val="003832B2"/>
    <w:rsid w:val="00383C07"/>
    <w:rsid w:val="0038532A"/>
    <w:rsid w:val="00386A7A"/>
    <w:rsid w:val="00387EAA"/>
    <w:rsid w:val="003915DC"/>
    <w:rsid w:val="00391850"/>
    <w:rsid w:val="003928D1"/>
    <w:rsid w:val="00392915"/>
    <w:rsid w:val="00393A58"/>
    <w:rsid w:val="00393B78"/>
    <w:rsid w:val="003A0067"/>
    <w:rsid w:val="003A15D9"/>
    <w:rsid w:val="003A3FDE"/>
    <w:rsid w:val="003A5EF7"/>
    <w:rsid w:val="003B0B5A"/>
    <w:rsid w:val="003B202E"/>
    <w:rsid w:val="003B32A2"/>
    <w:rsid w:val="003B6E3B"/>
    <w:rsid w:val="003B7F61"/>
    <w:rsid w:val="003C3410"/>
    <w:rsid w:val="003C5717"/>
    <w:rsid w:val="003D1768"/>
    <w:rsid w:val="003D2AC7"/>
    <w:rsid w:val="003D3399"/>
    <w:rsid w:val="003D3DF0"/>
    <w:rsid w:val="003D6E36"/>
    <w:rsid w:val="003E0364"/>
    <w:rsid w:val="003E181A"/>
    <w:rsid w:val="003E199B"/>
    <w:rsid w:val="003E2222"/>
    <w:rsid w:val="003E3CAF"/>
    <w:rsid w:val="003E4260"/>
    <w:rsid w:val="003E4C21"/>
    <w:rsid w:val="003E5AEB"/>
    <w:rsid w:val="003E74F3"/>
    <w:rsid w:val="003E786A"/>
    <w:rsid w:val="003F0EE3"/>
    <w:rsid w:val="003F3108"/>
    <w:rsid w:val="003F37B2"/>
    <w:rsid w:val="003F6360"/>
    <w:rsid w:val="003F7C0C"/>
    <w:rsid w:val="004011D5"/>
    <w:rsid w:val="00401502"/>
    <w:rsid w:val="00402D79"/>
    <w:rsid w:val="0041260B"/>
    <w:rsid w:val="00412715"/>
    <w:rsid w:val="0041283D"/>
    <w:rsid w:val="00413050"/>
    <w:rsid w:val="00413870"/>
    <w:rsid w:val="00414310"/>
    <w:rsid w:val="00415A1D"/>
    <w:rsid w:val="00415C4C"/>
    <w:rsid w:val="004176D7"/>
    <w:rsid w:val="00420DAB"/>
    <w:rsid w:val="004216F1"/>
    <w:rsid w:val="00423090"/>
    <w:rsid w:val="00425C2A"/>
    <w:rsid w:val="00427B88"/>
    <w:rsid w:val="0043297A"/>
    <w:rsid w:val="004358C0"/>
    <w:rsid w:val="00435948"/>
    <w:rsid w:val="00440186"/>
    <w:rsid w:val="004406AD"/>
    <w:rsid w:val="004424FF"/>
    <w:rsid w:val="00442ADD"/>
    <w:rsid w:val="00445BAA"/>
    <w:rsid w:val="00445CF9"/>
    <w:rsid w:val="004464F1"/>
    <w:rsid w:val="0045369A"/>
    <w:rsid w:val="00454D41"/>
    <w:rsid w:val="00454E7F"/>
    <w:rsid w:val="00455CE8"/>
    <w:rsid w:val="00457CE0"/>
    <w:rsid w:val="004605CE"/>
    <w:rsid w:val="00461F1A"/>
    <w:rsid w:val="0046540A"/>
    <w:rsid w:val="004655E5"/>
    <w:rsid w:val="004669CA"/>
    <w:rsid w:val="0046760F"/>
    <w:rsid w:val="0047030F"/>
    <w:rsid w:val="00473491"/>
    <w:rsid w:val="00475F81"/>
    <w:rsid w:val="00476284"/>
    <w:rsid w:val="00476F5A"/>
    <w:rsid w:val="004777F7"/>
    <w:rsid w:val="004809B9"/>
    <w:rsid w:val="00483DC6"/>
    <w:rsid w:val="00490847"/>
    <w:rsid w:val="00490BC1"/>
    <w:rsid w:val="00491E73"/>
    <w:rsid w:val="00491F50"/>
    <w:rsid w:val="004925CA"/>
    <w:rsid w:val="0049657A"/>
    <w:rsid w:val="004965A2"/>
    <w:rsid w:val="00496D6E"/>
    <w:rsid w:val="004A1140"/>
    <w:rsid w:val="004A2EFD"/>
    <w:rsid w:val="004A30D1"/>
    <w:rsid w:val="004A64E2"/>
    <w:rsid w:val="004A6CC8"/>
    <w:rsid w:val="004A71CE"/>
    <w:rsid w:val="004B1AA2"/>
    <w:rsid w:val="004B3F59"/>
    <w:rsid w:val="004B74BC"/>
    <w:rsid w:val="004C044E"/>
    <w:rsid w:val="004C4893"/>
    <w:rsid w:val="004C54A3"/>
    <w:rsid w:val="004C714A"/>
    <w:rsid w:val="004D2288"/>
    <w:rsid w:val="004D2C90"/>
    <w:rsid w:val="004D39B0"/>
    <w:rsid w:val="004D57D4"/>
    <w:rsid w:val="004D60F5"/>
    <w:rsid w:val="004E266F"/>
    <w:rsid w:val="004E4577"/>
    <w:rsid w:val="004E5720"/>
    <w:rsid w:val="004E579B"/>
    <w:rsid w:val="004E5E94"/>
    <w:rsid w:val="004E6918"/>
    <w:rsid w:val="004F0AAE"/>
    <w:rsid w:val="004F0C14"/>
    <w:rsid w:val="004F304E"/>
    <w:rsid w:val="004F5E9D"/>
    <w:rsid w:val="00501AD2"/>
    <w:rsid w:val="005030D6"/>
    <w:rsid w:val="005030E9"/>
    <w:rsid w:val="005034A6"/>
    <w:rsid w:val="005038E5"/>
    <w:rsid w:val="005044CA"/>
    <w:rsid w:val="00511E0D"/>
    <w:rsid w:val="00513D04"/>
    <w:rsid w:val="0051652B"/>
    <w:rsid w:val="00516847"/>
    <w:rsid w:val="00516B55"/>
    <w:rsid w:val="005218B3"/>
    <w:rsid w:val="00522AC4"/>
    <w:rsid w:val="00523653"/>
    <w:rsid w:val="00526A9B"/>
    <w:rsid w:val="00527E91"/>
    <w:rsid w:val="00531535"/>
    <w:rsid w:val="005355E0"/>
    <w:rsid w:val="005377DC"/>
    <w:rsid w:val="00540E7A"/>
    <w:rsid w:val="00544245"/>
    <w:rsid w:val="0054584E"/>
    <w:rsid w:val="00547EE1"/>
    <w:rsid w:val="00550767"/>
    <w:rsid w:val="00550F6D"/>
    <w:rsid w:val="00552200"/>
    <w:rsid w:val="00555557"/>
    <w:rsid w:val="0055615E"/>
    <w:rsid w:val="00556914"/>
    <w:rsid w:val="0056330E"/>
    <w:rsid w:val="0057121F"/>
    <w:rsid w:val="0057129D"/>
    <w:rsid w:val="00571B25"/>
    <w:rsid w:val="0058073F"/>
    <w:rsid w:val="00583BB1"/>
    <w:rsid w:val="00587099"/>
    <w:rsid w:val="00590519"/>
    <w:rsid w:val="0059187C"/>
    <w:rsid w:val="00592684"/>
    <w:rsid w:val="00592B83"/>
    <w:rsid w:val="00593938"/>
    <w:rsid w:val="0059522C"/>
    <w:rsid w:val="005956B5"/>
    <w:rsid w:val="005A0C10"/>
    <w:rsid w:val="005A22C7"/>
    <w:rsid w:val="005A2845"/>
    <w:rsid w:val="005A79CA"/>
    <w:rsid w:val="005A7C37"/>
    <w:rsid w:val="005B0011"/>
    <w:rsid w:val="005B27C2"/>
    <w:rsid w:val="005B3D6A"/>
    <w:rsid w:val="005B5EF7"/>
    <w:rsid w:val="005B5FFE"/>
    <w:rsid w:val="005B6444"/>
    <w:rsid w:val="005C120B"/>
    <w:rsid w:val="005C316E"/>
    <w:rsid w:val="005C46A9"/>
    <w:rsid w:val="005C4791"/>
    <w:rsid w:val="005C5C79"/>
    <w:rsid w:val="005D1261"/>
    <w:rsid w:val="005E089F"/>
    <w:rsid w:val="005E66FB"/>
    <w:rsid w:val="005F375B"/>
    <w:rsid w:val="005F661F"/>
    <w:rsid w:val="005F7F2E"/>
    <w:rsid w:val="006065B4"/>
    <w:rsid w:val="00606ED8"/>
    <w:rsid w:val="00607344"/>
    <w:rsid w:val="00610C68"/>
    <w:rsid w:val="00612A28"/>
    <w:rsid w:val="00615F2A"/>
    <w:rsid w:val="006243E2"/>
    <w:rsid w:val="006274AB"/>
    <w:rsid w:val="0062778A"/>
    <w:rsid w:val="0063039F"/>
    <w:rsid w:val="00631EAC"/>
    <w:rsid w:val="0063245A"/>
    <w:rsid w:val="00633D73"/>
    <w:rsid w:val="0064113F"/>
    <w:rsid w:val="006415C3"/>
    <w:rsid w:val="00642E98"/>
    <w:rsid w:val="0064339D"/>
    <w:rsid w:val="006473AE"/>
    <w:rsid w:val="0064750F"/>
    <w:rsid w:val="00650ED0"/>
    <w:rsid w:val="00652485"/>
    <w:rsid w:val="0065427C"/>
    <w:rsid w:val="006576F8"/>
    <w:rsid w:val="00663CF0"/>
    <w:rsid w:val="00663DDB"/>
    <w:rsid w:val="006649D3"/>
    <w:rsid w:val="00671B9B"/>
    <w:rsid w:val="00674779"/>
    <w:rsid w:val="0067679B"/>
    <w:rsid w:val="00690C89"/>
    <w:rsid w:val="00692425"/>
    <w:rsid w:val="006953AF"/>
    <w:rsid w:val="0069623F"/>
    <w:rsid w:val="006A0660"/>
    <w:rsid w:val="006B179B"/>
    <w:rsid w:val="006B1802"/>
    <w:rsid w:val="006B4A19"/>
    <w:rsid w:val="006B53B6"/>
    <w:rsid w:val="006B6862"/>
    <w:rsid w:val="006B6C52"/>
    <w:rsid w:val="006B6FAF"/>
    <w:rsid w:val="006B760B"/>
    <w:rsid w:val="006B7F26"/>
    <w:rsid w:val="006C084A"/>
    <w:rsid w:val="006C0B07"/>
    <w:rsid w:val="006C1B93"/>
    <w:rsid w:val="006C2FE4"/>
    <w:rsid w:val="006C3FDD"/>
    <w:rsid w:val="006C5A9E"/>
    <w:rsid w:val="006D01D5"/>
    <w:rsid w:val="006D0236"/>
    <w:rsid w:val="006D06F8"/>
    <w:rsid w:val="006D49D5"/>
    <w:rsid w:val="006D6D3C"/>
    <w:rsid w:val="006D77EA"/>
    <w:rsid w:val="006D7A46"/>
    <w:rsid w:val="006E1EE7"/>
    <w:rsid w:val="006E5BA1"/>
    <w:rsid w:val="006E72DB"/>
    <w:rsid w:val="006F14AF"/>
    <w:rsid w:val="006F1EBC"/>
    <w:rsid w:val="006F4114"/>
    <w:rsid w:val="006F578D"/>
    <w:rsid w:val="00705EBF"/>
    <w:rsid w:val="0070665C"/>
    <w:rsid w:val="00706F43"/>
    <w:rsid w:val="007103ED"/>
    <w:rsid w:val="007114BC"/>
    <w:rsid w:val="00713093"/>
    <w:rsid w:val="007139C4"/>
    <w:rsid w:val="0071434D"/>
    <w:rsid w:val="00715E5B"/>
    <w:rsid w:val="00716DFB"/>
    <w:rsid w:val="00717335"/>
    <w:rsid w:val="007221A7"/>
    <w:rsid w:val="00722CD3"/>
    <w:rsid w:val="0072682A"/>
    <w:rsid w:val="00727AD1"/>
    <w:rsid w:val="00727B23"/>
    <w:rsid w:val="00732967"/>
    <w:rsid w:val="00734CB7"/>
    <w:rsid w:val="007369E6"/>
    <w:rsid w:val="00752366"/>
    <w:rsid w:val="007538F3"/>
    <w:rsid w:val="007538F5"/>
    <w:rsid w:val="00754749"/>
    <w:rsid w:val="00754BE1"/>
    <w:rsid w:val="0076773A"/>
    <w:rsid w:val="00772E73"/>
    <w:rsid w:val="00773798"/>
    <w:rsid w:val="00773DBE"/>
    <w:rsid w:val="00773E93"/>
    <w:rsid w:val="00774645"/>
    <w:rsid w:val="00776797"/>
    <w:rsid w:val="00776D19"/>
    <w:rsid w:val="00780C1D"/>
    <w:rsid w:val="00786840"/>
    <w:rsid w:val="00787082"/>
    <w:rsid w:val="007906F8"/>
    <w:rsid w:val="00794D44"/>
    <w:rsid w:val="00795366"/>
    <w:rsid w:val="00795BAC"/>
    <w:rsid w:val="00796ED8"/>
    <w:rsid w:val="007A0444"/>
    <w:rsid w:val="007A0DF7"/>
    <w:rsid w:val="007A13AB"/>
    <w:rsid w:val="007A3129"/>
    <w:rsid w:val="007A4DA4"/>
    <w:rsid w:val="007A51F1"/>
    <w:rsid w:val="007B002A"/>
    <w:rsid w:val="007B0660"/>
    <w:rsid w:val="007B4738"/>
    <w:rsid w:val="007B5515"/>
    <w:rsid w:val="007C33AA"/>
    <w:rsid w:val="007C47C7"/>
    <w:rsid w:val="007C59E8"/>
    <w:rsid w:val="007C5DD8"/>
    <w:rsid w:val="007C7F07"/>
    <w:rsid w:val="007D0609"/>
    <w:rsid w:val="007D2A6F"/>
    <w:rsid w:val="007D3037"/>
    <w:rsid w:val="007D49E8"/>
    <w:rsid w:val="007D4D9C"/>
    <w:rsid w:val="007E045D"/>
    <w:rsid w:val="007E17C2"/>
    <w:rsid w:val="007E2553"/>
    <w:rsid w:val="007E27B4"/>
    <w:rsid w:val="007E3FEE"/>
    <w:rsid w:val="007E79D3"/>
    <w:rsid w:val="007F4065"/>
    <w:rsid w:val="008004A9"/>
    <w:rsid w:val="00800FD4"/>
    <w:rsid w:val="00803524"/>
    <w:rsid w:val="00815D1D"/>
    <w:rsid w:val="00815FA1"/>
    <w:rsid w:val="008175C2"/>
    <w:rsid w:val="00821AB6"/>
    <w:rsid w:val="00822EB0"/>
    <w:rsid w:val="00824313"/>
    <w:rsid w:val="00826EEF"/>
    <w:rsid w:val="00827A81"/>
    <w:rsid w:val="00831293"/>
    <w:rsid w:val="0083544F"/>
    <w:rsid w:val="00844CE1"/>
    <w:rsid w:val="0085017B"/>
    <w:rsid w:val="00850DB5"/>
    <w:rsid w:val="0085213B"/>
    <w:rsid w:val="008524A7"/>
    <w:rsid w:val="008548C2"/>
    <w:rsid w:val="0085613F"/>
    <w:rsid w:val="00856E2B"/>
    <w:rsid w:val="00861F47"/>
    <w:rsid w:val="00862A7F"/>
    <w:rsid w:val="00862E8F"/>
    <w:rsid w:val="00863203"/>
    <w:rsid w:val="00864156"/>
    <w:rsid w:val="0086437A"/>
    <w:rsid w:val="00864D65"/>
    <w:rsid w:val="00866DAA"/>
    <w:rsid w:val="008675BC"/>
    <w:rsid w:val="0087195C"/>
    <w:rsid w:val="008721D1"/>
    <w:rsid w:val="008740A2"/>
    <w:rsid w:val="0088257F"/>
    <w:rsid w:val="00886540"/>
    <w:rsid w:val="00890C79"/>
    <w:rsid w:val="0089328E"/>
    <w:rsid w:val="00893710"/>
    <w:rsid w:val="008937E1"/>
    <w:rsid w:val="00893B37"/>
    <w:rsid w:val="008951B9"/>
    <w:rsid w:val="008A1950"/>
    <w:rsid w:val="008A6CE6"/>
    <w:rsid w:val="008A745E"/>
    <w:rsid w:val="008B4D7C"/>
    <w:rsid w:val="008B7631"/>
    <w:rsid w:val="008C1E96"/>
    <w:rsid w:val="008C27CB"/>
    <w:rsid w:val="008C2B35"/>
    <w:rsid w:val="008C4447"/>
    <w:rsid w:val="008C691D"/>
    <w:rsid w:val="008C7688"/>
    <w:rsid w:val="008D1122"/>
    <w:rsid w:val="008D1F72"/>
    <w:rsid w:val="008D2EDD"/>
    <w:rsid w:val="008D3CEE"/>
    <w:rsid w:val="008D3D61"/>
    <w:rsid w:val="008E224E"/>
    <w:rsid w:val="008E3B12"/>
    <w:rsid w:val="008E48BD"/>
    <w:rsid w:val="008E5860"/>
    <w:rsid w:val="008F1703"/>
    <w:rsid w:val="008F174B"/>
    <w:rsid w:val="008F1E22"/>
    <w:rsid w:val="008F4044"/>
    <w:rsid w:val="008F5DDA"/>
    <w:rsid w:val="008F6337"/>
    <w:rsid w:val="008F77A8"/>
    <w:rsid w:val="008F7E02"/>
    <w:rsid w:val="009005EE"/>
    <w:rsid w:val="00901199"/>
    <w:rsid w:val="00901462"/>
    <w:rsid w:val="00901F2A"/>
    <w:rsid w:val="0090506D"/>
    <w:rsid w:val="00907404"/>
    <w:rsid w:val="00907D41"/>
    <w:rsid w:val="00910385"/>
    <w:rsid w:val="0092023A"/>
    <w:rsid w:val="0092347E"/>
    <w:rsid w:val="00923507"/>
    <w:rsid w:val="009265B9"/>
    <w:rsid w:val="009310FC"/>
    <w:rsid w:val="009311DC"/>
    <w:rsid w:val="00932789"/>
    <w:rsid w:val="009328C9"/>
    <w:rsid w:val="009356D3"/>
    <w:rsid w:val="0093616D"/>
    <w:rsid w:val="00936596"/>
    <w:rsid w:val="00936B55"/>
    <w:rsid w:val="009403AD"/>
    <w:rsid w:val="00942135"/>
    <w:rsid w:val="0094411D"/>
    <w:rsid w:val="009467EC"/>
    <w:rsid w:val="009477F2"/>
    <w:rsid w:val="00947BFF"/>
    <w:rsid w:val="00947CDB"/>
    <w:rsid w:val="00951291"/>
    <w:rsid w:val="0095130C"/>
    <w:rsid w:val="009515A0"/>
    <w:rsid w:val="0095168E"/>
    <w:rsid w:val="00952A98"/>
    <w:rsid w:val="0095627A"/>
    <w:rsid w:val="00964BAD"/>
    <w:rsid w:val="009669BF"/>
    <w:rsid w:val="0096747F"/>
    <w:rsid w:val="009676B2"/>
    <w:rsid w:val="00967926"/>
    <w:rsid w:val="009707C2"/>
    <w:rsid w:val="009728CA"/>
    <w:rsid w:val="00972CCE"/>
    <w:rsid w:val="00977810"/>
    <w:rsid w:val="009802A8"/>
    <w:rsid w:val="009809AC"/>
    <w:rsid w:val="0098573D"/>
    <w:rsid w:val="00985B78"/>
    <w:rsid w:val="00987B97"/>
    <w:rsid w:val="00990B47"/>
    <w:rsid w:val="00992048"/>
    <w:rsid w:val="00993581"/>
    <w:rsid w:val="00993A0A"/>
    <w:rsid w:val="00995C0F"/>
    <w:rsid w:val="009961AB"/>
    <w:rsid w:val="009A0556"/>
    <w:rsid w:val="009A14C4"/>
    <w:rsid w:val="009A603E"/>
    <w:rsid w:val="009A6B1B"/>
    <w:rsid w:val="009A6FA5"/>
    <w:rsid w:val="009A7DB7"/>
    <w:rsid w:val="009B0100"/>
    <w:rsid w:val="009B2BAF"/>
    <w:rsid w:val="009B5439"/>
    <w:rsid w:val="009B6FD6"/>
    <w:rsid w:val="009C1B52"/>
    <w:rsid w:val="009C294A"/>
    <w:rsid w:val="009C33DE"/>
    <w:rsid w:val="009C4160"/>
    <w:rsid w:val="009C43ED"/>
    <w:rsid w:val="009C54C4"/>
    <w:rsid w:val="009C6718"/>
    <w:rsid w:val="009D523F"/>
    <w:rsid w:val="009D7AA0"/>
    <w:rsid w:val="009D7FC2"/>
    <w:rsid w:val="009E1A11"/>
    <w:rsid w:val="009E542E"/>
    <w:rsid w:val="009F1020"/>
    <w:rsid w:val="009F1BD1"/>
    <w:rsid w:val="009F25E2"/>
    <w:rsid w:val="009F3B26"/>
    <w:rsid w:val="009F4806"/>
    <w:rsid w:val="00A0054D"/>
    <w:rsid w:val="00A03A18"/>
    <w:rsid w:val="00A05415"/>
    <w:rsid w:val="00A05E5D"/>
    <w:rsid w:val="00A0644F"/>
    <w:rsid w:val="00A069F4"/>
    <w:rsid w:val="00A10687"/>
    <w:rsid w:val="00A133F6"/>
    <w:rsid w:val="00A16B5C"/>
    <w:rsid w:val="00A276DA"/>
    <w:rsid w:val="00A30B12"/>
    <w:rsid w:val="00A34D1E"/>
    <w:rsid w:val="00A35086"/>
    <w:rsid w:val="00A3702F"/>
    <w:rsid w:val="00A40E26"/>
    <w:rsid w:val="00A417C8"/>
    <w:rsid w:val="00A44BE1"/>
    <w:rsid w:val="00A4626B"/>
    <w:rsid w:val="00A464F2"/>
    <w:rsid w:val="00A465C9"/>
    <w:rsid w:val="00A46D15"/>
    <w:rsid w:val="00A47F76"/>
    <w:rsid w:val="00A52EDC"/>
    <w:rsid w:val="00A5675A"/>
    <w:rsid w:val="00A56D0A"/>
    <w:rsid w:val="00A57C45"/>
    <w:rsid w:val="00A616EA"/>
    <w:rsid w:val="00A6227F"/>
    <w:rsid w:val="00A62326"/>
    <w:rsid w:val="00A72A54"/>
    <w:rsid w:val="00A73C81"/>
    <w:rsid w:val="00A73F68"/>
    <w:rsid w:val="00A73FC5"/>
    <w:rsid w:val="00A7436F"/>
    <w:rsid w:val="00A77076"/>
    <w:rsid w:val="00A81130"/>
    <w:rsid w:val="00A8203F"/>
    <w:rsid w:val="00A8444C"/>
    <w:rsid w:val="00A8445A"/>
    <w:rsid w:val="00A850BA"/>
    <w:rsid w:val="00A94B1D"/>
    <w:rsid w:val="00A96B31"/>
    <w:rsid w:val="00AA4C31"/>
    <w:rsid w:val="00AA5DAC"/>
    <w:rsid w:val="00AA788E"/>
    <w:rsid w:val="00AA7EE3"/>
    <w:rsid w:val="00AB2382"/>
    <w:rsid w:val="00AB7980"/>
    <w:rsid w:val="00AC08F9"/>
    <w:rsid w:val="00AC0C3B"/>
    <w:rsid w:val="00AC0EFE"/>
    <w:rsid w:val="00AC10D7"/>
    <w:rsid w:val="00AC183D"/>
    <w:rsid w:val="00AC43D3"/>
    <w:rsid w:val="00AC6BC4"/>
    <w:rsid w:val="00AD5EBB"/>
    <w:rsid w:val="00AD7EDB"/>
    <w:rsid w:val="00AE0AFA"/>
    <w:rsid w:val="00AE10C3"/>
    <w:rsid w:val="00AE59C1"/>
    <w:rsid w:val="00AE7177"/>
    <w:rsid w:val="00AE7396"/>
    <w:rsid w:val="00AF3D68"/>
    <w:rsid w:val="00B005DF"/>
    <w:rsid w:val="00B01E0C"/>
    <w:rsid w:val="00B01FC0"/>
    <w:rsid w:val="00B0222E"/>
    <w:rsid w:val="00B0245E"/>
    <w:rsid w:val="00B045CF"/>
    <w:rsid w:val="00B0536D"/>
    <w:rsid w:val="00B06769"/>
    <w:rsid w:val="00B11298"/>
    <w:rsid w:val="00B135B5"/>
    <w:rsid w:val="00B14861"/>
    <w:rsid w:val="00B206CA"/>
    <w:rsid w:val="00B211FD"/>
    <w:rsid w:val="00B34DD4"/>
    <w:rsid w:val="00B369AB"/>
    <w:rsid w:val="00B37728"/>
    <w:rsid w:val="00B40E63"/>
    <w:rsid w:val="00B41AD1"/>
    <w:rsid w:val="00B4396E"/>
    <w:rsid w:val="00B43F05"/>
    <w:rsid w:val="00B46590"/>
    <w:rsid w:val="00B5075C"/>
    <w:rsid w:val="00B52D95"/>
    <w:rsid w:val="00B5396F"/>
    <w:rsid w:val="00B55940"/>
    <w:rsid w:val="00B57E77"/>
    <w:rsid w:val="00B57FB1"/>
    <w:rsid w:val="00B606AF"/>
    <w:rsid w:val="00B621D0"/>
    <w:rsid w:val="00B73A40"/>
    <w:rsid w:val="00B757CF"/>
    <w:rsid w:val="00B80A34"/>
    <w:rsid w:val="00B82914"/>
    <w:rsid w:val="00B83F31"/>
    <w:rsid w:val="00B86491"/>
    <w:rsid w:val="00B87E40"/>
    <w:rsid w:val="00B90BD1"/>
    <w:rsid w:val="00B90D97"/>
    <w:rsid w:val="00B9249D"/>
    <w:rsid w:val="00B96029"/>
    <w:rsid w:val="00BA2B99"/>
    <w:rsid w:val="00BA36F5"/>
    <w:rsid w:val="00BA65FD"/>
    <w:rsid w:val="00BA68A0"/>
    <w:rsid w:val="00BA6C10"/>
    <w:rsid w:val="00BB7236"/>
    <w:rsid w:val="00BB7B36"/>
    <w:rsid w:val="00BC007C"/>
    <w:rsid w:val="00BC01CC"/>
    <w:rsid w:val="00BC1EE7"/>
    <w:rsid w:val="00BD11C3"/>
    <w:rsid w:val="00BD1E92"/>
    <w:rsid w:val="00BD6745"/>
    <w:rsid w:val="00BD7C58"/>
    <w:rsid w:val="00BE1449"/>
    <w:rsid w:val="00BE52D6"/>
    <w:rsid w:val="00BE6204"/>
    <w:rsid w:val="00BF0919"/>
    <w:rsid w:val="00BF50F7"/>
    <w:rsid w:val="00BF652F"/>
    <w:rsid w:val="00BF7BD1"/>
    <w:rsid w:val="00C00517"/>
    <w:rsid w:val="00C00C4B"/>
    <w:rsid w:val="00C03537"/>
    <w:rsid w:val="00C03903"/>
    <w:rsid w:val="00C04EA2"/>
    <w:rsid w:val="00C058C3"/>
    <w:rsid w:val="00C071C8"/>
    <w:rsid w:val="00C1029B"/>
    <w:rsid w:val="00C10955"/>
    <w:rsid w:val="00C1423F"/>
    <w:rsid w:val="00C15A9E"/>
    <w:rsid w:val="00C2107A"/>
    <w:rsid w:val="00C24AFF"/>
    <w:rsid w:val="00C25A7E"/>
    <w:rsid w:val="00C26E17"/>
    <w:rsid w:val="00C30E3E"/>
    <w:rsid w:val="00C331C1"/>
    <w:rsid w:val="00C3629F"/>
    <w:rsid w:val="00C57C5F"/>
    <w:rsid w:val="00C606EB"/>
    <w:rsid w:val="00C61E11"/>
    <w:rsid w:val="00C64FF4"/>
    <w:rsid w:val="00C66DA4"/>
    <w:rsid w:val="00C70FD5"/>
    <w:rsid w:val="00C714E9"/>
    <w:rsid w:val="00C748C4"/>
    <w:rsid w:val="00C76B4C"/>
    <w:rsid w:val="00C813F7"/>
    <w:rsid w:val="00C92AB0"/>
    <w:rsid w:val="00CA45E8"/>
    <w:rsid w:val="00CA6001"/>
    <w:rsid w:val="00CB5C6E"/>
    <w:rsid w:val="00CC3B20"/>
    <w:rsid w:val="00CC3D2F"/>
    <w:rsid w:val="00CC7347"/>
    <w:rsid w:val="00CD1FBE"/>
    <w:rsid w:val="00CD640C"/>
    <w:rsid w:val="00CD70BD"/>
    <w:rsid w:val="00CD7D99"/>
    <w:rsid w:val="00CE0AF2"/>
    <w:rsid w:val="00CE0B1F"/>
    <w:rsid w:val="00CE15BF"/>
    <w:rsid w:val="00CE3040"/>
    <w:rsid w:val="00CE39BE"/>
    <w:rsid w:val="00CE6CA8"/>
    <w:rsid w:val="00CE79D9"/>
    <w:rsid w:val="00CF1C70"/>
    <w:rsid w:val="00CF249C"/>
    <w:rsid w:val="00CF2678"/>
    <w:rsid w:val="00CF2709"/>
    <w:rsid w:val="00CF2C76"/>
    <w:rsid w:val="00CF37B5"/>
    <w:rsid w:val="00CF3A86"/>
    <w:rsid w:val="00CF4A64"/>
    <w:rsid w:val="00CF66D7"/>
    <w:rsid w:val="00CF6CAC"/>
    <w:rsid w:val="00D15659"/>
    <w:rsid w:val="00D16B97"/>
    <w:rsid w:val="00D21FA3"/>
    <w:rsid w:val="00D26920"/>
    <w:rsid w:val="00D2692A"/>
    <w:rsid w:val="00D271E6"/>
    <w:rsid w:val="00D3012E"/>
    <w:rsid w:val="00D312FB"/>
    <w:rsid w:val="00D329B1"/>
    <w:rsid w:val="00D3391F"/>
    <w:rsid w:val="00D366C4"/>
    <w:rsid w:val="00D36ED2"/>
    <w:rsid w:val="00D511C0"/>
    <w:rsid w:val="00D53E6C"/>
    <w:rsid w:val="00D5472F"/>
    <w:rsid w:val="00D5576B"/>
    <w:rsid w:val="00D64345"/>
    <w:rsid w:val="00D64625"/>
    <w:rsid w:val="00D64B8C"/>
    <w:rsid w:val="00D65486"/>
    <w:rsid w:val="00D65961"/>
    <w:rsid w:val="00D66F72"/>
    <w:rsid w:val="00D715FF"/>
    <w:rsid w:val="00D727CE"/>
    <w:rsid w:val="00D75D8C"/>
    <w:rsid w:val="00D81A11"/>
    <w:rsid w:val="00D81ACB"/>
    <w:rsid w:val="00D825C9"/>
    <w:rsid w:val="00D8271E"/>
    <w:rsid w:val="00D82964"/>
    <w:rsid w:val="00D839AA"/>
    <w:rsid w:val="00D8577A"/>
    <w:rsid w:val="00D865F2"/>
    <w:rsid w:val="00D86F54"/>
    <w:rsid w:val="00D90186"/>
    <w:rsid w:val="00D90305"/>
    <w:rsid w:val="00D920EA"/>
    <w:rsid w:val="00D922C5"/>
    <w:rsid w:val="00D93145"/>
    <w:rsid w:val="00DA0B95"/>
    <w:rsid w:val="00DA253A"/>
    <w:rsid w:val="00DA3173"/>
    <w:rsid w:val="00DA32E3"/>
    <w:rsid w:val="00DA3305"/>
    <w:rsid w:val="00DA3944"/>
    <w:rsid w:val="00DA4619"/>
    <w:rsid w:val="00DA6DEF"/>
    <w:rsid w:val="00DA7E78"/>
    <w:rsid w:val="00DB370D"/>
    <w:rsid w:val="00DC0530"/>
    <w:rsid w:val="00DC0D0D"/>
    <w:rsid w:val="00DC2BA9"/>
    <w:rsid w:val="00DC4A03"/>
    <w:rsid w:val="00DC53D7"/>
    <w:rsid w:val="00DD09F4"/>
    <w:rsid w:val="00DD12C1"/>
    <w:rsid w:val="00DD2607"/>
    <w:rsid w:val="00DD3E62"/>
    <w:rsid w:val="00DD5D50"/>
    <w:rsid w:val="00DD6239"/>
    <w:rsid w:val="00DD63C9"/>
    <w:rsid w:val="00DE239F"/>
    <w:rsid w:val="00DE2769"/>
    <w:rsid w:val="00DE2FB4"/>
    <w:rsid w:val="00DE38E6"/>
    <w:rsid w:val="00DE3DEF"/>
    <w:rsid w:val="00DE4273"/>
    <w:rsid w:val="00DE45FE"/>
    <w:rsid w:val="00DE5676"/>
    <w:rsid w:val="00DE584D"/>
    <w:rsid w:val="00DE667A"/>
    <w:rsid w:val="00DE71FB"/>
    <w:rsid w:val="00DE7F06"/>
    <w:rsid w:val="00DF29A7"/>
    <w:rsid w:val="00DF3E3D"/>
    <w:rsid w:val="00DF5FAA"/>
    <w:rsid w:val="00DF7AF3"/>
    <w:rsid w:val="00E1582A"/>
    <w:rsid w:val="00E163FA"/>
    <w:rsid w:val="00E17913"/>
    <w:rsid w:val="00E229B7"/>
    <w:rsid w:val="00E24582"/>
    <w:rsid w:val="00E27671"/>
    <w:rsid w:val="00E30576"/>
    <w:rsid w:val="00E32A91"/>
    <w:rsid w:val="00E32AEF"/>
    <w:rsid w:val="00E33640"/>
    <w:rsid w:val="00E33F54"/>
    <w:rsid w:val="00E353E8"/>
    <w:rsid w:val="00E363E0"/>
    <w:rsid w:val="00E37CF6"/>
    <w:rsid w:val="00E40C46"/>
    <w:rsid w:val="00E43127"/>
    <w:rsid w:val="00E437C1"/>
    <w:rsid w:val="00E47494"/>
    <w:rsid w:val="00E4760A"/>
    <w:rsid w:val="00E47D4A"/>
    <w:rsid w:val="00E5146F"/>
    <w:rsid w:val="00E55764"/>
    <w:rsid w:val="00E60CE0"/>
    <w:rsid w:val="00E621EF"/>
    <w:rsid w:val="00E6410E"/>
    <w:rsid w:val="00E65FC2"/>
    <w:rsid w:val="00E66418"/>
    <w:rsid w:val="00E679F4"/>
    <w:rsid w:val="00E72162"/>
    <w:rsid w:val="00E7510D"/>
    <w:rsid w:val="00E773EF"/>
    <w:rsid w:val="00E80FBA"/>
    <w:rsid w:val="00E82D66"/>
    <w:rsid w:val="00E83FCE"/>
    <w:rsid w:val="00E85FAA"/>
    <w:rsid w:val="00E8674D"/>
    <w:rsid w:val="00E86837"/>
    <w:rsid w:val="00E87C91"/>
    <w:rsid w:val="00E900E3"/>
    <w:rsid w:val="00E93890"/>
    <w:rsid w:val="00E94C71"/>
    <w:rsid w:val="00E964A4"/>
    <w:rsid w:val="00E96DE4"/>
    <w:rsid w:val="00E97831"/>
    <w:rsid w:val="00E97E11"/>
    <w:rsid w:val="00EA258D"/>
    <w:rsid w:val="00EB3B4E"/>
    <w:rsid w:val="00EB4B89"/>
    <w:rsid w:val="00EB6FAC"/>
    <w:rsid w:val="00EC0213"/>
    <w:rsid w:val="00EC0F5C"/>
    <w:rsid w:val="00EC1CFB"/>
    <w:rsid w:val="00EC3C2E"/>
    <w:rsid w:val="00EC43FD"/>
    <w:rsid w:val="00EC516F"/>
    <w:rsid w:val="00EC5BC7"/>
    <w:rsid w:val="00EC6B91"/>
    <w:rsid w:val="00ED24EB"/>
    <w:rsid w:val="00ED3B8E"/>
    <w:rsid w:val="00ED6D8E"/>
    <w:rsid w:val="00ED73C3"/>
    <w:rsid w:val="00ED779E"/>
    <w:rsid w:val="00EE0398"/>
    <w:rsid w:val="00EE7C67"/>
    <w:rsid w:val="00EF7CE5"/>
    <w:rsid w:val="00F01EDB"/>
    <w:rsid w:val="00F026B4"/>
    <w:rsid w:val="00F03006"/>
    <w:rsid w:val="00F042A9"/>
    <w:rsid w:val="00F116F2"/>
    <w:rsid w:val="00F14512"/>
    <w:rsid w:val="00F1557C"/>
    <w:rsid w:val="00F15CF1"/>
    <w:rsid w:val="00F16AE7"/>
    <w:rsid w:val="00F21CA9"/>
    <w:rsid w:val="00F23BEA"/>
    <w:rsid w:val="00F24BAE"/>
    <w:rsid w:val="00F25647"/>
    <w:rsid w:val="00F2767F"/>
    <w:rsid w:val="00F341BA"/>
    <w:rsid w:val="00F367B5"/>
    <w:rsid w:val="00F36B35"/>
    <w:rsid w:val="00F37291"/>
    <w:rsid w:val="00F37AEE"/>
    <w:rsid w:val="00F40AEE"/>
    <w:rsid w:val="00F41BD1"/>
    <w:rsid w:val="00F42291"/>
    <w:rsid w:val="00F45F1E"/>
    <w:rsid w:val="00F47BB4"/>
    <w:rsid w:val="00F507CA"/>
    <w:rsid w:val="00F517EF"/>
    <w:rsid w:val="00F53361"/>
    <w:rsid w:val="00F5760B"/>
    <w:rsid w:val="00F642D6"/>
    <w:rsid w:val="00F64A21"/>
    <w:rsid w:val="00F657CF"/>
    <w:rsid w:val="00F660F9"/>
    <w:rsid w:val="00F67734"/>
    <w:rsid w:val="00F6782A"/>
    <w:rsid w:val="00F7080B"/>
    <w:rsid w:val="00F71B3D"/>
    <w:rsid w:val="00F72D12"/>
    <w:rsid w:val="00F73AD4"/>
    <w:rsid w:val="00F73D9E"/>
    <w:rsid w:val="00F77610"/>
    <w:rsid w:val="00F81403"/>
    <w:rsid w:val="00F814F9"/>
    <w:rsid w:val="00F83BDA"/>
    <w:rsid w:val="00F83C9B"/>
    <w:rsid w:val="00F83EEF"/>
    <w:rsid w:val="00F86FE9"/>
    <w:rsid w:val="00F904F4"/>
    <w:rsid w:val="00F90508"/>
    <w:rsid w:val="00F90F4F"/>
    <w:rsid w:val="00F93E77"/>
    <w:rsid w:val="00F964E7"/>
    <w:rsid w:val="00F964FF"/>
    <w:rsid w:val="00FA2A40"/>
    <w:rsid w:val="00FA30C8"/>
    <w:rsid w:val="00FA63D3"/>
    <w:rsid w:val="00FA6D62"/>
    <w:rsid w:val="00FB0222"/>
    <w:rsid w:val="00FB0D12"/>
    <w:rsid w:val="00FB243B"/>
    <w:rsid w:val="00FB28DB"/>
    <w:rsid w:val="00FB2A0A"/>
    <w:rsid w:val="00FB2DA4"/>
    <w:rsid w:val="00FB46D7"/>
    <w:rsid w:val="00FB52A2"/>
    <w:rsid w:val="00FB5649"/>
    <w:rsid w:val="00FB67F3"/>
    <w:rsid w:val="00FC0409"/>
    <w:rsid w:val="00FC04DD"/>
    <w:rsid w:val="00FC2966"/>
    <w:rsid w:val="00FC4943"/>
    <w:rsid w:val="00FC7A1C"/>
    <w:rsid w:val="00FD2737"/>
    <w:rsid w:val="00FD4816"/>
    <w:rsid w:val="00FE031C"/>
    <w:rsid w:val="00FE065B"/>
    <w:rsid w:val="00FE0AAB"/>
    <w:rsid w:val="00FE0B60"/>
    <w:rsid w:val="00FE191C"/>
    <w:rsid w:val="00FE24A7"/>
    <w:rsid w:val="00FE2CE9"/>
    <w:rsid w:val="00FE2F63"/>
    <w:rsid w:val="00FE4FD0"/>
    <w:rsid w:val="00FE5198"/>
    <w:rsid w:val="00FF0C6A"/>
    <w:rsid w:val="00FF2F8B"/>
    <w:rsid w:val="00FF4F0D"/>
    <w:rsid w:val="00FF6C4A"/>
    <w:rsid w:val="00FF6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s-ES" w:eastAsia="es-E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0B26"/>
    <w:pPr>
      <w:spacing w:before="200" w:after="200" w:line="276" w:lineRule="auto"/>
    </w:pPr>
    <w:rPr>
      <w:sz w:val="20"/>
      <w:szCs w:val="20"/>
      <w:lang w:val="en-US" w:eastAsia="en-US"/>
    </w:rPr>
  </w:style>
  <w:style w:type="paragraph" w:styleId="Ttulo1">
    <w:name w:val="heading 1"/>
    <w:basedOn w:val="Normal"/>
    <w:next w:val="Normal"/>
    <w:link w:val="Ttulo1Car"/>
    <w:uiPriority w:val="99"/>
    <w:qFormat/>
    <w:rsid w:val="00180B2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tulo2">
    <w:name w:val="heading 2"/>
    <w:aliases w:val="Cuadro"/>
    <w:basedOn w:val="Normal"/>
    <w:next w:val="Normal"/>
    <w:link w:val="Ttulo2Car"/>
    <w:uiPriority w:val="99"/>
    <w:qFormat/>
    <w:rsid w:val="00180B2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tulo3">
    <w:name w:val="heading 3"/>
    <w:basedOn w:val="Normal"/>
    <w:next w:val="Normal"/>
    <w:link w:val="Ttulo3Car"/>
    <w:uiPriority w:val="99"/>
    <w:qFormat/>
    <w:locked/>
    <w:rsid w:val="00180B26"/>
    <w:pPr>
      <w:pBdr>
        <w:top w:val="single" w:sz="6" w:space="2" w:color="4F81BD"/>
        <w:left w:val="single" w:sz="6" w:space="2" w:color="4F81BD"/>
      </w:pBdr>
      <w:spacing w:before="300" w:after="0"/>
      <w:outlineLvl w:val="2"/>
    </w:pPr>
    <w:rPr>
      <w:caps/>
      <w:color w:val="243F60"/>
      <w:spacing w:val="15"/>
      <w:sz w:val="22"/>
      <w:szCs w:val="22"/>
    </w:rPr>
  </w:style>
  <w:style w:type="paragraph" w:styleId="Ttulo4">
    <w:name w:val="heading 4"/>
    <w:basedOn w:val="Normal"/>
    <w:next w:val="Normal"/>
    <w:link w:val="Ttulo4Car"/>
    <w:uiPriority w:val="99"/>
    <w:qFormat/>
    <w:locked/>
    <w:rsid w:val="00180B26"/>
    <w:pPr>
      <w:pBdr>
        <w:top w:val="dotted" w:sz="6" w:space="2" w:color="4F81BD"/>
        <w:left w:val="dotted" w:sz="6" w:space="2" w:color="4F81BD"/>
      </w:pBdr>
      <w:spacing w:before="300" w:after="0"/>
      <w:outlineLvl w:val="3"/>
    </w:pPr>
    <w:rPr>
      <w:caps/>
      <w:color w:val="365F91"/>
      <w:spacing w:val="10"/>
      <w:sz w:val="22"/>
      <w:szCs w:val="22"/>
    </w:rPr>
  </w:style>
  <w:style w:type="paragraph" w:styleId="Ttulo5">
    <w:name w:val="heading 5"/>
    <w:basedOn w:val="Normal"/>
    <w:next w:val="Normal"/>
    <w:link w:val="Ttulo5Car"/>
    <w:uiPriority w:val="99"/>
    <w:qFormat/>
    <w:locked/>
    <w:rsid w:val="00180B26"/>
    <w:pPr>
      <w:pBdr>
        <w:bottom w:val="single" w:sz="6" w:space="1" w:color="4F81BD"/>
      </w:pBdr>
      <w:spacing w:before="300" w:after="0"/>
      <w:outlineLvl w:val="4"/>
    </w:pPr>
    <w:rPr>
      <w:caps/>
      <w:color w:val="365F91"/>
      <w:spacing w:val="10"/>
      <w:sz w:val="22"/>
      <w:szCs w:val="22"/>
    </w:rPr>
  </w:style>
  <w:style w:type="paragraph" w:styleId="Ttulo6">
    <w:name w:val="heading 6"/>
    <w:basedOn w:val="Normal"/>
    <w:next w:val="Normal"/>
    <w:link w:val="Ttulo6Car"/>
    <w:uiPriority w:val="99"/>
    <w:qFormat/>
    <w:locked/>
    <w:rsid w:val="00180B26"/>
    <w:pPr>
      <w:pBdr>
        <w:bottom w:val="dotted" w:sz="6" w:space="1" w:color="4F81BD"/>
      </w:pBdr>
      <w:spacing w:before="300" w:after="0"/>
      <w:outlineLvl w:val="5"/>
    </w:pPr>
    <w:rPr>
      <w:caps/>
      <w:color w:val="365F91"/>
      <w:spacing w:val="10"/>
      <w:sz w:val="22"/>
      <w:szCs w:val="22"/>
    </w:rPr>
  </w:style>
  <w:style w:type="paragraph" w:styleId="Ttulo7">
    <w:name w:val="heading 7"/>
    <w:basedOn w:val="Normal"/>
    <w:next w:val="Normal"/>
    <w:link w:val="Ttulo7Car"/>
    <w:uiPriority w:val="99"/>
    <w:qFormat/>
    <w:locked/>
    <w:rsid w:val="00180B26"/>
    <w:pPr>
      <w:spacing w:before="300" w:after="0"/>
      <w:outlineLvl w:val="6"/>
    </w:pPr>
    <w:rPr>
      <w:caps/>
      <w:color w:val="365F91"/>
      <w:spacing w:val="10"/>
      <w:sz w:val="22"/>
      <w:szCs w:val="22"/>
    </w:rPr>
  </w:style>
  <w:style w:type="paragraph" w:styleId="Ttulo8">
    <w:name w:val="heading 8"/>
    <w:basedOn w:val="Normal"/>
    <w:next w:val="Normal"/>
    <w:link w:val="Ttulo8Car"/>
    <w:uiPriority w:val="99"/>
    <w:qFormat/>
    <w:locked/>
    <w:rsid w:val="00180B26"/>
    <w:pPr>
      <w:spacing w:before="300" w:after="0"/>
      <w:outlineLvl w:val="7"/>
    </w:pPr>
    <w:rPr>
      <w:caps/>
      <w:spacing w:val="10"/>
      <w:sz w:val="18"/>
      <w:szCs w:val="18"/>
    </w:rPr>
  </w:style>
  <w:style w:type="paragraph" w:styleId="Ttulo9">
    <w:name w:val="heading 9"/>
    <w:basedOn w:val="Normal"/>
    <w:next w:val="Normal"/>
    <w:link w:val="Ttulo9Car"/>
    <w:uiPriority w:val="99"/>
    <w:qFormat/>
    <w:locked/>
    <w:rsid w:val="00180B26"/>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80B26"/>
    <w:rPr>
      <w:rFonts w:cs="Times New Roman"/>
      <w:b/>
      <w:bCs/>
      <w:caps/>
      <w:color w:val="FFFFFF"/>
      <w:spacing w:val="15"/>
      <w:shd w:val="clear" w:color="auto" w:fill="4F81BD"/>
    </w:rPr>
  </w:style>
  <w:style w:type="character" w:customStyle="1" w:styleId="Ttulo2Car">
    <w:name w:val="Título 2 Car"/>
    <w:aliases w:val="Cuadro Car"/>
    <w:basedOn w:val="Fuentedeprrafopredeter"/>
    <w:link w:val="Ttulo2"/>
    <w:uiPriority w:val="99"/>
    <w:locked/>
    <w:rsid w:val="00180B26"/>
    <w:rPr>
      <w:rFonts w:cs="Times New Roman"/>
      <w:caps/>
      <w:spacing w:val="15"/>
      <w:shd w:val="clear" w:color="auto" w:fill="DBE5F1"/>
    </w:rPr>
  </w:style>
  <w:style w:type="character" w:customStyle="1" w:styleId="Ttulo3Car">
    <w:name w:val="Título 3 Car"/>
    <w:basedOn w:val="Fuentedeprrafopredeter"/>
    <w:link w:val="Ttulo3"/>
    <w:uiPriority w:val="99"/>
    <w:semiHidden/>
    <w:locked/>
    <w:rsid w:val="00180B26"/>
    <w:rPr>
      <w:rFonts w:cs="Times New Roman"/>
      <w:caps/>
      <w:color w:val="243F60"/>
      <w:spacing w:val="15"/>
    </w:rPr>
  </w:style>
  <w:style w:type="character" w:customStyle="1" w:styleId="Ttulo4Car">
    <w:name w:val="Título 4 Car"/>
    <w:basedOn w:val="Fuentedeprrafopredeter"/>
    <w:link w:val="Ttulo4"/>
    <w:uiPriority w:val="99"/>
    <w:semiHidden/>
    <w:locked/>
    <w:rsid w:val="00180B26"/>
    <w:rPr>
      <w:rFonts w:cs="Times New Roman"/>
      <w:caps/>
      <w:color w:val="365F91"/>
      <w:spacing w:val="10"/>
    </w:rPr>
  </w:style>
  <w:style w:type="character" w:customStyle="1" w:styleId="Ttulo5Car">
    <w:name w:val="Título 5 Car"/>
    <w:basedOn w:val="Fuentedeprrafopredeter"/>
    <w:link w:val="Ttulo5"/>
    <w:uiPriority w:val="99"/>
    <w:semiHidden/>
    <w:locked/>
    <w:rsid w:val="00180B26"/>
    <w:rPr>
      <w:rFonts w:cs="Times New Roman"/>
      <w:caps/>
      <w:color w:val="365F91"/>
      <w:spacing w:val="10"/>
    </w:rPr>
  </w:style>
  <w:style w:type="character" w:customStyle="1" w:styleId="Ttulo6Car">
    <w:name w:val="Título 6 Car"/>
    <w:basedOn w:val="Fuentedeprrafopredeter"/>
    <w:link w:val="Ttulo6"/>
    <w:uiPriority w:val="99"/>
    <w:semiHidden/>
    <w:locked/>
    <w:rsid w:val="00180B26"/>
    <w:rPr>
      <w:rFonts w:cs="Times New Roman"/>
      <w:caps/>
      <w:color w:val="365F91"/>
      <w:spacing w:val="10"/>
    </w:rPr>
  </w:style>
  <w:style w:type="character" w:customStyle="1" w:styleId="Ttulo7Car">
    <w:name w:val="Título 7 Car"/>
    <w:basedOn w:val="Fuentedeprrafopredeter"/>
    <w:link w:val="Ttulo7"/>
    <w:uiPriority w:val="99"/>
    <w:semiHidden/>
    <w:locked/>
    <w:rsid w:val="00180B26"/>
    <w:rPr>
      <w:rFonts w:cs="Times New Roman"/>
      <w:caps/>
      <w:color w:val="365F91"/>
      <w:spacing w:val="10"/>
    </w:rPr>
  </w:style>
  <w:style w:type="character" w:customStyle="1" w:styleId="Ttulo8Car">
    <w:name w:val="Título 8 Car"/>
    <w:basedOn w:val="Fuentedeprrafopredeter"/>
    <w:link w:val="Ttulo8"/>
    <w:uiPriority w:val="99"/>
    <w:semiHidden/>
    <w:locked/>
    <w:rsid w:val="00180B26"/>
    <w:rPr>
      <w:rFonts w:cs="Times New Roman"/>
      <w:caps/>
      <w:spacing w:val="10"/>
      <w:sz w:val="18"/>
      <w:szCs w:val="18"/>
    </w:rPr>
  </w:style>
  <w:style w:type="character" w:customStyle="1" w:styleId="Ttulo9Car">
    <w:name w:val="Título 9 Car"/>
    <w:basedOn w:val="Fuentedeprrafopredeter"/>
    <w:link w:val="Ttulo9"/>
    <w:uiPriority w:val="99"/>
    <w:semiHidden/>
    <w:locked/>
    <w:rsid w:val="00180B26"/>
    <w:rPr>
      <w:rFonts w:cs="Times New Roman"/>
      <w:i/>
      <w:caps/>
      <w:spacing w:val="10"/>
      <w:sz w:val="18"/>
      <w:szCs w:val="18"/>
    </w:rPr>
  </w:style>
  <w:style w:type="character" w:customStyle="1" w:styleId="apple-style-span">
    <w:name w:val="apple-style-span"/>
    <w:basedOn w:val="Fuentedeprrafopredeter"/>
    <w:uiPriority w:val="99"/>
    <w:rsid w:val="007221A7"/>
    <w:rPr>
      <w:rFonts w:cs="Times New Roman"/>
    </w:rPr>
  </w:style>
  <w:style w:type="character" w:customStyle="1" w:styleId="apple-converted-space">
    <w:name w:val="apple-converted-space"/>
    <w:basedOn w:val="Fuentedeprrafopredeter"/>
    <w:uiPriority w:val="99"/>
    <w:rsid w:val="007221A7"/>
    <w:rPr>
      <w:rFonts w:cs="Times New Roman"/>
    </w:rPr>
  </w:style>
  <w:style w:type="character" w:styleId="Hipervnculo">
    <w:name w:val="Hyperlink"/>
    <w:basedOn w:val="Fuentedeprrafopredeter"/>
    <w:uiPriority w:val="99"/>
    <w:rsid w:val="00DE7F06"/>
    <w:rPr>
      <w:rFonts w:cs="Times New Roman"/>
      <w:color w:val="0000FF"/>
      <w:u w:val="single"/>
    </w:rPr>
  </w:style>
  <w:style w:type="paragraph" w:styleId="Textonotapie">
    <w:name w:val="footnote text"/>
    <w:aliases w:val="Texto nota pie Car,fn Car,footnote text Car,Footnotes Car,Footnote ak Car Car,Texto nota pie Car Car,fn Car Car,footnote text Car Car,Footnotes Car Car"/>
    <w:basedOn w:val="Normal"/>
    <w:link w:val="TextonotapieCar1"/>
    <w:uiPriority w:val="99"/>
    <w:semiHidden/>
    <w:rsid w:val="008A745E"/>
  </w:style>
  <w:style w:type="character" w:customStyle="1" w:styleId="TextonotapieCar1">
    <w:name w:val="Texto nota pie Car1"/>
    <w:aliases w:val="Texto nota pie Car Car1,fn Car Car1,footnote text Car Car1,Footnotes Car Car1,Footnote ak Car Car Car,Texto nota pie Car Car Car,fn Car Car Car,footnote text Car Car Car,Footnotes Car Car Car"/>
    <w:basedOn w:val="Fuentedeprrafopredeter"/>
    <w:link w:val="Textonotapie"/>
    <w:uiPriority w:val="99"/>
    <w:semiHidden/>
    <w:locked/>
    <w:rsid w:val="002F1ED4"/>
    <w:rPr>
      <w:rFonts w:ascii="Calibri" w:eastAsia="SimSun" w:hAnsi="Calibri" w:cs="Times New Roman"/>
      <w:sz w:val="20"/>
      <w:szCs w:val="20"/>
    </w:rPr>
  </w:style>
  <w:style w:type="character" w:styleId="Refdenotaalpie">
    <w:name w:val="footnote reference"/>
    <w:aliases w:val="Ref,de nota al pie"/>
    <w:basedOn w:val="Fuentedeprrafopredeter"/>
    <w:uiPriority w:val="99"/>
    <w:semiHidden/>
    <w:rsid w:val="002F1ED4"/>
    <w:rPr>
      <w:rFonts w:cs="Times New Roman"/>
      <w:vertAlign w:val="superscript"/>
    </w:rPr>
  </w:style>
  <w:style w:type="table" w:styleId="Tablaconcuadrcula">
    <w:name w:val="Table Grid"/>
    <w:basedOn w:val="Tablanormal"/>
    <w:uiPriority w:val="99"/>
    <w:rsid w:val="00D922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bliography1">
    <w:name w:val="Bibliography1"/>
    <w:basedOn w:val="Normal"/>
    <w:next w:val="Normal"/>
    <w:uiPriority w:val="99"/>
    <w:rsid w:val="008A745E"/>
  </w:style>
  <w:style w:type="paragraph" w:styleId="Encabezado">
    <w:name w:val="header"/>
    <w:basedOn w:val="Normal"/>
    <w:link w:val="EncabezadoCar"/>
    <w:uiPriority w:val="99"/>
    <w:semiHidden/>
    <w:rsid w:val="008A745E"/>
    <w:pPr>
      <w:tabs>
        <w:tab w:val="center" w:pos="4419"/>
        <w:tab w:val="right" w:pos="8838"/>
      </w:tabs>
    </w:pPr>
  </w:style>
  <w:style w:type="character" w:customStyle="1" w:styleId="EncabezadoCar">
    <w:name w:val="Encabezado Car"/>
    <w:basedOn w:val="Fuentedeprrafopredeter"/>
    <w:link w:val="Encabezado"/>
    <w:uiPriority w:val="99"/>
    <w:semiHidden/>
    <w:locked/>
    <w:rsid w:val="00C00517"/>
    <w:rPr>
      <w:rFonts w:ascii="Calibri" w:eastAsia="SimSun" w:hAnsi="Calibri" w:cs="Times New Roman"/>
    </w:rPr>
  </w:style>
  <w:style w:type="paragraph" w:styleId="Piedepgina">
    <w:name w:val="footer"/>
    <w:basedOn w:val="Normal"/>
    <w:link w:val="PiedepginaCar"/>
    <w:uiPriority w:val="99"/>
    <w:rsid w:val="008A745E"/>
    <w:pPr>
      <w:tabs>
        <w:tab w:val="center" w:pos="4419"/>
        <w:tab w:val="right" w:pos="8838"/>
      </w:tabs>
    </w:pPr>
  </w:style>
  <w:style w:type="character" w:customStyle="1" w:styleId="PiedepginaCar">
    <w:name w:val="Pie de página Car"/>
    <w:basedOn w:val="Fuentedeprrafopredeter"/>
    <w:link w:val="Piedepgina"/>
    <w:uiPriority w:val="99"/>
    <w:locked/>
    <w:rsid w:val="00C00517"/>
    <w:rPr>
      <w:rFonts w:ascii="Calibri" w:eastAsia="SimSun" w:hAnsi="Calibri" w:cs="Times New Roman"/>
    </w:rPr>
  </w:style>
  <w:style w:type="character" w:styleId="Refdecomentario">
    <w:name w:val="annotation reference"/>
    <w:basedOn w:val="Fuentedeprrafopredeter"/>
    <w:uiPriority w:val="99"/>
    <w:semiHidden/>
    <w:rsid w:val="00E32A91"/>
    <w:rPr>
      <w:rFonts w:cs="Times New Roman"/>
      <w:sz w:val="16"/>
      <w:szCs w:val="16"/>
    </w:rPr>
  </w:style>
  <w:style w:type="paragraph" w:styleId="Textocomentario">
    <w:name w:val="annotation text"/>
    <w:basedOn w:val="Normal"/>
    <w:link w:val="TextocomentarioCar"/>
    <w:uiPriority w:val="99"/>
    <w:semiHidden/>
    <w:rsid w:val="008A745E"/>
  </w:style>
  <w:style w:type="character" w:customStyle="1" w:styleId="TextocomentarioCar">
    <w:name w:val="Texto comentario Car"/>
    <w:basedOn w:val="Fuentedeprrafopredeter"/>
    <w:link w:val="Textocomentario"/>
    <w:uiPriority w:val="99"/>
    <w:semiHidden/>
    <w:locked/>
    <w:rsid w:val="00E32A91"/>
    <w:rPr>
      <w:rFonts w:ascii="Calibri" w:eastAsia="SimSun"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8A745E"/>
    <w:rPr>
      <w:b/>
      <w:bCs/>
    </w:rPr>
  </w:style>
  <w:style w:type="character" w:customStyle="1" w:styleId="AsuntodelcomentarioCar">
    <w:name w:val="Asunto del comentario Car"/>
    <w:basedOn w:val="TextocomentarioCar"/>
    <w:link w:val="Asuntodelcomentario"/>
    <w:uiPriority w:val="99"/>
    <w:semiHidden/>
    <w:locked/>
    <w:rsid w:val="00E32A91"/>
    <w:rPr>
      <w:rFonts w:ascii="Calibri" w:eastAsia="SimSun" w:hAnsi="Calibri" w:cs="Times New Roman"/>
      <w:b/>
      <w:bCs/>
      <w:sz w:val="20"/>
      <w:szCs w:val="20"/>
    </w:rPr>
  </w:style>
  <w:style w:type="paragraph" w:styleId="Textodeglobo">
    <w:name w:val="Balloon Text"/>
    <w:basedOn w:val="Normal"/>
    <w:link w:val="TextodegloboCar"/>
    <w:uiPriority w:val="99"/>
    <w:semiHidden/>
    <w:rsid w:val="00E32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32A91"/>
    <w:rPr>
      <w:rFonts w:ascii="Tahoma" w:hAnsi="Tahoma" w:cs="Tahoma"/>
      <w:sz w:val="16"/>
      <w:szCs w:val="16"/>
    </w:rPr>
  </w:style>
  <w:style w:type="paragraph" w:customStyle="1" w:styleId="Revision1">
    <w:name w:val="Revision1"/>
    <w:hidden/>
    <w:uiPriority w:val="99"/>
    <w:semiHidden/>
    <w:rsid w:val="008A745E"/>
    <w:pPr>
      <w:spacing w:before="200" w:after="200" w:line="276" w:lineRule="auto"/>
    </w:pPr>
    <w:rPr>
      <w:lang w:val="es-PE" w:eastAsia="zh-CN"/>
    </w:rPr>
  </w:style>
  <w:style w:type="paragraph" w:customStyle="1" w:styleId="ListParagraph1">
    <w:name w:val="List Paragraph1"/>
    <w:basedOn w:val="Normal"/>
    <w:uiPriority w:val="99"/>
    <w:rsid w:val="008A745E"/>
    <w:pPr>
      <w:ind w:left="708"/>
    </w:pPr>
  </w:style>
  <w:style w:type="paragraph" w:customStyle="1" w:styleId="NoSpacing1">
    <w:name w:val="No Spacing1"/>
    <w:link w:val="NoSpacingChar"/>
    <w:uiPriority w:val="99"/>
    <w:rsid w:val="008A745E"/>
    <w:pPr>
      <w:spacing w:before="200" w:after="200" w:line="276" w:lineRule="auto"/>
    </w:pPr>
    <w:rPr>
      <w:lang w:eastAsia="en-US"/>
    </w:rPr>
  </w:style>
  <w:style w:type="character" w:customStyle="1" w:styleId="NoSpacingChar">
    <w:name w:val="No Spacing Char"/>
    <w:basedOn w:val="Fuentedeprrafopredeter"/>
    <w:link w:val="NoSpacing1"/>
    <w:uiPriority w:val="99"/>
    <w:locked/>
    <w:rsid w:val="00100651"/>
    <w:rPr>
      <w:rFonts w:cs="Times New Roman"/>
      <w:sz w:val="22"/>
      <w:szCs w:val="22"/>
      <w:lang w:val="es-ES" w:eastAsia="en-US" w:bidi="ar-SA"/>
    </w:rPr>
  </w:style>
  <w:style w:type="paragraph" w:customStyle="1" w:styleId="Bibliografa1">
    <w:name w:val="Bibliografía1"/>
    <w:basedOn w:val="Normal"/>
    <w:next w:val="Normal"/>
    <w:uiPriority w:val="99"/>
    <w:rsid w:val="008A745E"/>
  </w:style>
  <w:style w:type="paragraph" w:customStyle="1" w:styleId="Revisin1">
    <w:name w:val="Revisión1"/>
    <w:hidden/>
    <w:uiPriority w:val="99"/>
    <w:semiHidden/>
    <w:rsid w:val="008A745E"/>
    <w:pPr>
      <w:spacing w:before="200" w:after="200" w:line="276" w:lineRule="auto"/>
    </w:pPr>
    <w:rPr>
      <w:lang w:val="es-PE" w:eastAsia="zh-CN"/>
    </w:rPr>
  </w:style>
  <w:style w:type="paragraph" w:customStyle="1" w:styleId="Prrafodelista1">
    <w:name w:val="Párrafo de lista1"/>
    <w:basedOn w:val="Normal"/>
    <w:uiPriority w:val="99"/>
    <w:rsid w:val="008A745E"/>
    <w:pPr>
      <w:ind w:left="708"/>
    </w:pPr>
  </w:style>
  <w:style w:type="paragraph" w:customStyle="1" w:styleId="Sinespaciado1">
    <w:name w:val="Sin espaciado1"/>
    <w:uiPriority w:val="99"/>
    <w:rsid w:val="008A745E"/>
    <w:pPr>
      <w:spacing w:before="200" w:after="200" w:line="276" w:lineRule="auto"/>
    </w:pPr>
    <w:rPr>
      <w:lang w:eastAsia="en-US"/>
    </w:rPr>
  </w:style>
  <w:style w:type="paragraph" w:styleId="NormalWeb">
    <w:name w:val="Normal (Web)"/>
    <w:basedOn w:val="Normal"/>
    <w:uiPriority w:val="99"/>
    <w:semiHidden/>
    <w:rsid w:val="00303DE4"/>
    <w:pPr>
      <w:spacing w:before="100" w:beforeAutospacing="1" w:after="100" w:afterAutospacing="1" w:line="240" w:lineRule="auto"/>
    </w:pPr>
    <w:rPr>
      <w:rFonts w:ascii="Times New Roman" w:hAnsi="Times New Roman"/>
      <w:sz w:val="24"/>
      <w:szCs w:val="24"/>
    </w:rPr>
  </w:style>
  <w:style w:type="paragraph" w:styleId="Epgrafe">
    <w:name w:val="caption"/>
    <w:basedOn w:val="Normal"/>
    <w:next w:val="Normal"/>
    <w:uiPriority w:val="99"/>
    <w:qFormat/>
    <w:rsid w:val="00180B26"/>
    <w:rPr>
      <w:b/>
      <w:bCs/>
      <w:color w:val="365F91"/>
      <w:sz w:val="16"/>
      <w:szCs w:val="16"/>
    </w:rPr>
  </w:style>
  <w:style w:type="paragraph" w:customStyle="1" w:styleId="Estilotitulo3aIzquierda063cm">
    <w:name w:val="Estilo titulo3a + Izquierda:  0.63 cm"/>
    <w:basedOn w:val="Normal"/>
    <w:uiPriority w:val="99"/>
    <w:rsid w:val="00CC7347"/>
    <w:pPr>
      <w:autoSpaceDE w:val="0"/>
      <w:autoSpaceDN w:val="0"/>
      <w:adjustRightInd w:val="0"/>
      <w:spacing w:after="0" w:line="240" w:lineRule="auto"/>
      <w:ind w:left="360"/>
      <w:jc w:val="both"/>
    </w:pPr>
    <w:rPr>
      <w:rFonts w:ascii="Tahoma" w:hAnsi="Tahoma"/>
      <w:b/>
      <w:bCs/>
      <w:i/>
      <w:iCs/>
      <w:lang w:eastAsia="es-ES"/>
    </w:rPr>
  </w:style>
  <w:style w:type="paragraph" w:styleId="Textoindependiente3">
    <w:name w:val="Body Text 3"/>
    <w:basedOn w:val="Normal"/>
    <w:link w:val="Textoindependiente3Car"/>
    <w:uiPriority w:val="99"/>
    <w:rsid w:val="00E1582A"/>
    <w:pPr>
      <w:spacing w:after="0" w:line="240" w:lineRule="auto"/>
      <w:jc w:val="both"/>
    </w:pPr>
    <w:rPr>
      <w:rFonts w:ascii="Arial" w:hAnsi="Arial" w:cs="Arial"/>
      <w:b/>
      <w:bCs/>
      <w:szCs w:val="24"/>
      <w:lang w:val="es-ES" w:eastAsia="es-ES"/>
    </w:rPr>
  </w:style>
  <w:style w:type="character" w:customStyle="1" w:styleId="Textoindependiente3Car">
    <w:name w:val="Texto independiente 3 Car"/>
    <w:basedOn w:val="Fuentedeprrafopredeter"/>
    <w:link w:val="Textoindependiente3"/>
    <w:uiPriority w:val="99"/>
    <w:semiHidden/>
    <w:locked/>
    <w:rsid w:val="00754BE1"/>
    <w:rPr>
      <w:rFonts w:cs="Times New Roman"/>
      <w:sz w:val="16"/>
      <w:szCs w:val="16"/>
      <w:lang w:val="es-PE" w:eastAsia="zh-CN"/>
    </w:rPr>
  </w:style>
  <w:style w:type="paragraph" w:styleId="Textoindependiente">
    <w:name w:val="Body Text"/>
    <w:basedOn w:val="Normal"/>
    <w:link w:val="TextoindependienteCar"/>
    <w:uiPriority w:val="99"/>
    <w:rsid w:val="008A745E"/>
    <w:pPr>
      <w:spacing w:after="120"/>
    </w:pPr>
  </w:style>
  <w:style w:type="character" w:customStyle="1" w:styleId="TextoindependienteCar">
    <w:name w:val="Texto independiente Car"/>
    <w:basedOn w:val="Fuentedeprrafopredeter"/>
    <w:link w:val="Textoindependiente"/>
    <w:uiPriority w:val="99"/>
    <w:locked/>
    <w:rsid w:val="00C748C4"/>
    <w:rPr>
      <w:rFonts w:ascii="Calibri" w:eastAsia="SimSun" w:hAnsi="Calibri" w:cs="Times New Roman"/>
    </w:rPr>
  </w:style>
  <w:style w:type="paragraph" w:styleId="Mapadeldocumento">
    <w:name w:val="Document Map"/>
    <w:basedOn w:val="Normal"/>
    <w:link w:val="MapadeldocumentoCar"/>
    <w:uiPriority w:val="99"/>
    <w:semiHidden/>
    <w:rsid w:val="008A745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F90F4F"/>
    <w:rPr>
      <w:rFonts w:ascii="Tahoma" w:eastAsia="SimSun" w:hAnsi="Tahoma" w:cs="Tahoma"/>
      <w:sz w:val="16"/>
      <w:szCs w:val="16"/>
    </w:rPr>
  </w:style>
  <w:style w:type="paragraph" w:styleId="Ttulo">
    <w:name w:val="Title"/>
    <w:basedOn w:val="Normal"/>
    <w:next w:val="Normal"/>
    <w:link w:val="TtuloCar"/>
    <w:uiPriority w:val="99"/>
    <w:qFormat/>
    <w:locked/>
    <w:rsid w:val="00180B26"/>
    <w:pPr>
      <w:spacing w:before="720"/>
    </w:pPr>
    <w:rPr>
      <w:caps/>
      <w:color w:val="4F81BD"/>
      <w:spacing w:val="10"/>
      <w:kern w:val="28"/>
      <w:sz w:val="52"/>
      <w:szCs w:val="52"/>
    </w:rPr>
  </w:style>
  <w:style w:type="character" w:customStyle="1" w:styleId="TtuloCar">
    <w:name w:val="Título Car"/>
    <w:basedOn w:val="Fuentedeprrafopredeter"/>
    <w:link w:val="Ttulo"/>
    <w:uiPriority w:val="99"/>
    <w:locked/>
    <w:rsid w:val="00180B26"/>
    <w:rPr>
      <w:rFonts w:cs="Times New Roman"/>
      <w:caps/>
      <w:color w:val="4F81BD"/>
      <w:spacing w:val="10"/>
      <w:kern w:val="28"/>
      <w:sz w:val="52"/>
      <w:szCs w:val="52"/>
    </w:rPr>
  </w:style>
  <w:style w:type="paragraph" w:styleId="Subttulo">
    <w:name w:val="Subtitle"/>
    <w:basedOn w:val="Normal"/>
    <w:next w:val="Normal"/>
    <w:link w:val="SubttuloCar"/>
    <w:uiPriority w:val="99"/>
    <w:qFormat/>
    <w:locked/>
    <w:rsid w:val="00180B26"/>
    <w:pPr>
      <w:spacing w:after="1000" w:line="240" w:lineRule="auto"/>
    </w:pPr>
    <w:rPr>
      <w:caps/>
      <w:color w:val="595959"/>
      <w:spacing w:val="10"/>
      <w:sz w:val="24"/>
      <w:szCs w:val="24"/>
    </w:rPr>
  </w:style>
  <w:style w:type="character" w:customStyle="1" w:styleId="SubttuloCar">
    <w:name w:val="Subtítulo Car"/>
    <w:basedOn w:val="Fuentedeprrafopredeter"/>
    <w:link w:val="Subttulo"/>
    <w:uiPriority w:val="99"/>
    <w:locked/>
    <w:rsid w:val="00180B26"/>
    <w:rPr>
      <w:rFonts w:cs="Times New Roman"/>
      <w:caps/>
      <w:color w:val="595959"/>
      <w:spacing w:val="10"/>
      <w:sz w:val="24"/>
      <w:szCs w:val="24"/>
    </w:rPr>
  </w:style>
  <w:style w:type="character" w:styleId="Textoennegrita">
    <w:name w:val="Strong"/>
    <w:basedOn w:val="Fuentedeprrafopredeter"/>
    <w:uiPriority w:val="99"/>
    <w:qFormat/>
    <w:locked/>
    <w:rsid w:val="00180B26"/>
    <w:rPr>
      <w:rFonts w:cs="Times New Roman"/>
      <w:b/>
    </w:rPr>
  </w:style>
  <w:style w:type="character" w:styleId="nfasis">
    <w:name w:val="Emphasis"/>
    <w:basedOn w:val="Fuentedeprrafopredeter"/>
    <w:uiPriority w:val="99"/>
    <w:qFormat/>
    <w:locked/>
    <w:rsid w:val="00180B26"/>
    <w:rPr>
      <w:rFonts w:cs="Times New Roman"/>
      <w:caps/>
      <w:color w:val="243F60"/>
      <w:spacing w:val="5"/>
    </w:rPr>
  </w:style>
  <w:style w:type="paragraph" w:customStyle="1" w:styleId="Sinespaciado2">
    <w:name w:val="Sin espaciado2"/>
    <w:basedOn w:val="Normal"/>
    <w:link w:val="NoSpacingChar1"/>
    <w:uiPriority w:val="99"/>
    <w:rsid w:val="00180B26"/>
    <w:pPr>
      <w:spacing w:before="0" w:after="0" w:line="240" w:lineRule="auto"/>
    </w:pPr>
  </w:style>
  <w:style w:type="character" w:customStyle="1" w:styleId="NoSpacingChar1">
    <w:name w:val="No Spacing Char1"/>
    <w:basedOn w:val="Fuentedeprrafopredeter"/>
    <w:link w:val="Sinespaciado2"/>
    <w:uiPriority w:val="99"/>
    <w:locked/>
    <w:rsid w:val="00180B26"/>
    <w:rPr>
      <w:rFonts w:cs="Times New Roman"/>
      <w:sz w:val="20"/>
      <w:szCs w:val="20"/>
    </w:rPr>
  </w:style>
  <w:style w:type="paragraph" w:customStyle="1" w:styleId="Prrafodelista2">
    <w:name w:val="Párrafo de lista2"/>
    <w:basedOn w:val="Normal"/>
    <w:uiPriority w:val="99"/>
    <w:rsid w:val="00180B26"/>
    <w:pPr>
      <w:ind w:left="720"/>
    </w:pPr>
  </w:style>
  <w:style w:type="paragraph" w:customStyle="1" w:styleId="Cita1">
    <w:name w:val="Cita1"/>
    <w:basedOn w:val="Normal"/>
    <w:next w:val="Normal"/>
    <w:link w:val="QuoteChar"/>
    <w:uiPriority w:val="99"/>
    <w:rsid w:val="00180B26"/>
    <w:rPr>
      <w:i/>
      <w:iCs/>
    </w:rPr>
  </w:style>
  <w:style w:type="character" w:customStyle="1" w:styleId="QuoteChar">
    <w:name w:val="Quote Char"/>
    <w:basedOn w:val="Fuentedeprrafopredeter"/>
    <w:link w:val="Cita1"/>
    <w:uiPriority w:val="99"/>
    <w:locked/>
    <w:rsid w:val="00180B26"/>
    <w:rPr>
      <w:rFonts w:cs="Times New Roman"/>
      <w:i/>
      <w:iCs/>
      <w:sz w:val="20"/>
      <w:szCs w:val="20"/>
    </w:rPr>
  </w:style>
  <w:style w:type="paragraph" w:customStyle="1" w:styleId="Citadestacada1">
    <w:name w:val="Cita destacada1"/>
    <w:basedOn w:val="Normal"/>
    <w:next w:val="Normal"/>
    <w:link w:val="IntenseQuoteChar"/>
    <w:uiPriority w:val="99"/>
    <w:rsid w:val="00180B26"/>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Fuentedeprrafopredeter"/>
    <w:link w:val="Citadestacada1"/>
    <w:uiPriority w:val="99"/>
    <w:locked/>
    <w:rsid w:val="00180B26"/>
    <w:rPr>
      <w:rFonts w:cs="Times New Roman"/>
      <w:i/>
      <w:iCs/>
      <w:color w:val="4F81BD"/>
      <w:sz w:val="20"/>
      <w:szCs w:val="20"/>
    </w:rPr>
  </w:style>
  <w:style w:type="character" w:customStyle="1" w:styleId="nfasissutil1">
    <w:name w:val="Énfasis sutil1"/>
    <w:basedOn w:val="Fuentedeprrafopredeter"/>
    <w:uiPriority w:val="99"/>
    <w:rsid w:val="00180B26"/>
    <w:rPr>
      <w:rFonts w:cs="Times New Roman"/>
      <w:i/>
      <w:color w:val="243F60"/>
    </w:rPr>
  </w:style>
  <w:style w:type="character" w:customStyle="1" w:styleId="nfasisintenso1">
    <w:name w:val="Énfasis intenso1"/>
    <w:basedOn w:val="Fuentedeprrafopredeter"/>
    <w:uiPriority w:val="99"/>
    <w:rsid w:val="00180B26"/>
    <w:rPr>
      <w:rFonts w:cs="Times New Roman"/>
      <w:b/>
      <w:caps/>
      <w:color w:val="243F60"/>
      <w:spacing w:val="10"/>
    </w:rPr>
  </w:style>
  <w:style w:type="character" w:customStyle="1" w:styleId="Referenciasutil1">
    <w:name w:val="Referencia sutil1"/>
    <w:basedOn w:val="Fuentedeprrafopredeter"/>
    <w:uiPriority w:val="99"/>
    <w:rsid w:val="00180B26"/>
    <w:rPr>
      <w:rFonts w:cs="Times New Roman"/>
      <w:b/>
      <w:color w:val="4F81BD"/>
    </w:rPr>
  </w:style>
  <w:style w:type="character" w:customStyle="1" w:styleId="Referenciaintensa1">
    <w:name w:val="Referencia intensa1"/>
    <w:basedOn w:val="Fuentedeprrafopredeter"/>
    <w:uiPriority w:val="99"/>
    <w:rsid w:val="00180B26"/>
    <w:rPr>
      <w:rFonts w:cs="Times New Roman"/>
      <w:b/>
      <w:i/>
      <w:caps/>
      <w:color w:val="4F81BD"/>
    </w:rPr>
  </w:style>
  <w:style w:type="character" w:customStyle="1" w:styleId="Ttulodellibro1">
    <w:name w:val="Título del libro1"/>
    <w:basedOn w:val="Fuentedeprrafopredeter"/>
    <w:uiPriority w:val="99"/>
    <w:rsid w:val="00180B26"/>
    <w:rPr>
      <w:rFonts w:cs="Times New Roman"/>
      <w:b/>
      <w:i/>
      <w:spacing w:val="9"/>
    </w:rPr>
  </w:style>
  <w:style w:type="paragraph" w:customStyle="1" w:styleId="TtulodeTDC1">
    <w:name w:val="Título de TDC1"/>
    <w:basedOn w:val="Ttulo1"/>
    <w:next w:val="Normal"/>
    <w:uiPriority w:val="99"/>
    <w:rsid w:val="00180B26"/>
    <w:pPr>
      <w:outlineLvl w:val="9"/>
    </w:pPr>
  </w:style>
  <w:style w:type="table" w:customStyle="1" w:styleId="LightShading-Accent11">
    <w:name w:val="Light Shading - Accent 11"/>
    <w:uiPriority w:val="99"/>
    <w:rsid w:val="00440186"/>
    <w:rPr>
      <w:color w:val="365F91"/>
      <w:sz w:val="20"/>
      <w:szCs w:val="20"/>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440186"/>
    <w:rPr>
      <w:sz w:val="20"/>
      <w:szCs w:val="2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2-Accent11">
    <w:name w:val="Medium Shading 2 - Accent 11"/>
    <w:uiPriority w:val="99"/>
    <w:rsid w:val="00440186"/>
    <w:rPr>
      <w:sz w:val="20"/>
      <w:szCs w:val="20"/>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CarCar5">
    <w:name w:val="Car Car5"/>
    <w:basedOn w:val="Fuentedeprrafopredeter"/>
    <w:uiPriority w:val="99"/>
    <w:rsid w:val="00E82D66"/>
    <w:rPr>
      <w:rFonts w:cs="Times New Roman"/>
    </w:rPr>
  </w:style>
  <w:style w:type="character" w:customStyle="1" w:styleId="CarCar2">
    <w:name w:val="Car Car2"/>
    <w:basedOn w:val="Fuentedeprrafopredeter"/>
    <w:uiPriority w:val="99"/>
    <w:rsid w:val="00E82D66"/>
    <w:rPr>
      <w:rFonts w:cs="Times New Roman"/>
    </w:rPr>
  </w:style>
  <w:style w:type="paragraph" w:styleId="Prrafodelista">
    <w:name w:val="List Paragraph"/>
    <w:basedOn w:val="Normal"/>
    <w:uiPriority w:val="99"/>
    <w:qFormat/>
    <w:rsid w:val="00A46D15"/>
    <w:pPr>
      <w:ind w:left="720"/>
    </w:pPr>
  </w:style>
  <w:style w:type="paragraph" w:styleId="TtulodeTDC">
    <w:name w:val="TOC Heading"/>
    <w:basedOn w:val="Ttulo1"/>
    <w:next w:val="Normal"/>
    <w:uiPriority w:val="99"/>
    <w:qFormat/>
    <w:rsid w:val="003E786A"/>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s-ES"/>
    </w:rPr>
  </w:style>
  <w:style w:type="paragraph" w:styleId="TDC1">
    <w:name w:val="toc 1"/>
    <w:basedOn w:val="Normal"/>
    <w:next w:val="Normal"/>
    <w:autoRedefine/>
    <w:uiPriority w:val="99"/>
    <w:locked/>
    <w:rsid w:val="003E786A"/>
  </w:style>
  <w:style w:type="paragraph" w:styleId="TDC2">
    <w:name w:val="toc 2"/>
    <w:basedOn w:val="Normal"/>
    <w:next w:val="Normal"/>
    <w:autoRedefine/>
    <w:uiPriority w:val="99"/>
    <w:locked/>
    <w:rsid w:val="003E786A"/>
    <w:pPr>
      <w:ind w:left="200"/>
    </w:pPr>
  </w:style>
  <w:style w:type="paragraph" w:styleId="TDC3">
    <w:name w:val="toc 3"/>
    <w:basedOn w:val="Normal"/>
    <w:next w:val="Normal"/>
    <w:autoRedefine/>
    <w:uiPriority w:val="99"/>
    <w:locked/>
    <w:rsid w:val="003E786A"/>
    <w:pPr>
      <w:ind w:left="400"/>
    </w:pPr>
  </w:style>
  <w:style w:type="character" w:styleId="Hipervnculovisitado">
    <w:name w:val="FollowedHyperlink"/>
    <w:basedOn w:val="Fuentedeprrafopredeter"/>
    <w:uiPriority w:val="99"/>
    <w:semiHidden/>
    <w:locked/>
    <w:rsid w:val="009477F2"/>
    <w:rPr>
      <w:rFonts w:cs="Times New Roman"/>
      <w:color w:val="800080"/>
      <w:u w:val="single"/>
    </w:rPr>
  </w:style>
  <w:style w:type="paragraph" w:customStyle="1" w:styleId="xl63">
    <w:name w:val="xl63"/>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4">
    <w:name w:val="xl64"/>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5">
    <w:name w:val="xl65"/>
    <w:basedOn w:val="Normal"/>
    <w:uiPriority w:val="99"/>
    <w:rsid w:val="009477F2"/>
    <w:pPr>
      <w:pBdr>
        <w:top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6">
    <w:name w:val="xl66"/>
    <w:basedOn w:val="Normal"/>
    <w:uiPriority w:val="99"/>
    <w:rsid w:val="009477F2"/>
    <w:pPr>
      <w:pBdr>
        <w:top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7">
    <w:name w:val="xl67"/>
    <w:basedOn w:val="Normal"/>
    <w:uiPriority w:val="99"/>
    <w:rsid w:val="009477F2"/>
    <w:pPr>
      <w:pBdr>
        <w:top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68">
    <w:name w:val="xl68"/>
    <w:basedOn w:val="Normal"/>
    <w:uiPriority w:val="99"/>
    <w:rsid w:val="009477F2"/>
    <w:pPr>
      <w:pBdr>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69">
    <w:name w:val="xl69"/>
    <w:basedOn w:val="Normal"/>
    <w:uiPriority w:val="99"/>
    <w:rsid w:val="009477F2"/>
    <w:pPr>
      <w:pBdr>
        <w:top w:val="single" w:sz="8" w:space="0" w:color="auto"/>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0">
    <w:name w:val="xl70"/>
    <w:basedOn w:val="Normal"/>
    <w:uiPriority w:val="99"/>
    <w:rsid w:val="009477F2"/>
    <w:pPr>
      <w:pBdr>
        <w:left w:val="single" w:sz="8" w:space="0" w:color="auto"/>
        <w:right w:val="single" w:sz="8" w:space="0" w:color="auto"/>
      </w:pBdr>
      <w:shd w:val="clear" w:color="000000" w:fill="DBE5F1"/>
      <w:spacing w:before="100" w:beforeAutospacing="1" w:after="100" w:afterAutospacing="1" w:line="240" w:lineRule="auto"/>
    </w:pPr>
    <w:rPr>
      <w:rFonts w:ascii="Times New Roman" w:hAnsi="Times New Roman"/>
      <w:b/>
      <w:bCs/>
      <w:sz w:val="24"/>
      <w:szCs w:val="24"/>
      <w:lang w:val="es-PE" w:eastAsia="zh-CN"/>
    </w:rPr>
  </w:style>
  <w:style w:type="paragraph" w:customStyle="1" w:styleId="xl71">
    <w:name w:val="xl71"/>
    <w:basedOn w:val="Normal"/>
    <w:uiPriority w:val="99"/>
    <w:rsid w:val="009477F2"/>
    <w:pPr>
      <w:pBdr>
        <w:left w:val="single" w:sz="8" w:space="0" w:color="auto"/>
        <w:right w:val="single" w:sz="8" w:space="0" w:color="auto"/>
      </w:pBdr>
      <w:spacing w:before="100" w:beforeAutospacing="1" w:after="100" w:afterAutospacing="1" w:line="240" w:lineRule="auto"/>
    </w:pPr>
    <w:rPr>
      <w:rFonts w:ascii="Times New Roman" w:hAnsi="Times New Roman"/>
      <w:b/>
      <w:bCs/>
      <w:i/>
      <w:iCs/>
      <w:sz w:val="24"/>
      <w:szCs w:val="24"/>
      <w:lang w:val="es-PE" w:eastAsia="zh-CN"/>
    </w:rPr>
  </w:style>
  <w:style w:type="paragraph" w:customStyle="1" w:styleId="xl72">
    <w:name w:val="xl72"/>
    <w:basedOn w:val="Normal"/>
    <w:uiPriority w:val="99"/>
    <w:rsid w:val="009477F2"/>
    <w:pPr>
      <w:pBdr>
        <w:left w:val="single" w:sz="8" w:space="7" w:color="auto"/>
        <w:right w:val="single" w:sz="8" w:space="0" w:color="auto"/>
      </w:pBdr>
      <w:spacing w:before="100" w:beforeAutospacing="1" w:after="100" w:afterAutospacing="1" w:line="240" w:lineRule="auto"/>
      <w:ind w:firstLineChars="100" w:firstLine="100"/>
    </w:pPr>
    <w:rPr>
      <w:rFonts w:ascii="Times New Roman" w:hAnsi="Times New Roman"/>
      <w:sz w:val="24"/>
      <w:szCs w:val="24"/>
      <w:lang w:val="es-PE" w:eastAsia="zh-CN"/>
    </w:rPr>
  </w:style>
  <w:style w:type="paragraph" w:customStyle="1" w:styleId="xl73">
    <w:name w:val="xl73"/>
    <w:basedOn w:val="Normal"/>
    <w:uiPriority w:val="99"/>
    <w:rsid w:val="009477F2"/>
    <w:pPr>
      <w:pBdr>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4">
    <w:name w:val="xl74"/>
    <w:basedOn w:val="Normal"/>
    <w:uiPriority w:val="99"/>
    <w:rsid w:val="009477F2"/>
    <w:pPr>
      <w:pBdr>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Times New Roman" w:hAnsi="Times New Roman"/>
      <w:sz w:val="24"/>
      <w:szCs w:val="24"/>
      <w:lang w:val="es-PE" w:eastAsia="zh-CN"/>
    </w:rPr>
  </w:style>
  <w:style w:type="paragraph" w:customStyle="1" w:styleId="xl75">
    <w:name w:val="xl75"/>
    <w:basedOn w:val="Normal"/>
    <w:uiPriority w:val="99"/>
    <w:rsid w:val="009477F2"/>
    <w:pPr>
      <w:pBdr>
        <w:top w:val="single" w:sz="8" w:space="0" w:color="auto"/>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6">
    <w:name w:val="xl76"/>
    <w:basedOn w:val="Normal"/>
    <w:uiPriority w:val="99"/>
    <w:rsid w:val="009477F2"/>
    <w:pPr>
      <w:pBdr>
        <w:lef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7">
    <w:name w:val="xl77"/>
    <w:basedOn w:val="Normal"/>
    <w:uiPriority w:val="99"/>
    <w:rsid w:val="009477F2"/>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8">
    <w:name w:val="xl78"/>
    <w:basedOn w:val="Normal"/>
    <w:uiPriority w:val="99"/>
    <w:rsid w:val="009477F2"/>
    <w:pPr>
      <w:pBdr>
        <w:righ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9">
    <w:name w:val="xl79"/>
    <w:basedOn w:val="Normal"/>
    <w:uiPriority w:val="99"/>
    <w:rsid w:val="009477F2"/>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80">
    <w:name w:val="xl80"/>
    <w:basedOn w:val="Normal"/>
    <w:uiPriority w:val="99"/>
    <w:rsid w:val="009477F2"/>
    <w:pPr>
      <w:pBdr>
        <w:top w:val="single" w:sz="8" w:space="0" w:color="auto"/>
        <w:lef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81">
    <w:name w:val="xl81"/>
    <w:basedOn w:val="Normal"/>
    <w:uiPriority w:val="99"/>
    <w:rsid w:val="009477F2"/>
    <w:pPr>
      <w:pBdr>
        <w:left w:val="single" w:sz="8" w:space="0" w:color="auto"/>
      </w:pBdr>
      <w:shd w:val="clear" w:color="000000" w:fill="DBE5F1"/>
      <w:spacing w:before="100" w:beforeAutospacing="1" w:after="100" w:afterAutospacing="1" w:line="240" w:lineRule="auto"/>
    </w:pPr>
    <w:rPr>
      <w:rFonts w:ascii="Times New Roman" w:hAnsi="Times New Roman"/>
      <w:b/>
      <w:bCs/>
      <w:sz w:val="24"/>
      <w:szCs w:val="24"/>
      <w:lang w:val="es-PE" w:eastAsia="zh-CN"/>
    </w:rPr>
  </w:style>
  <w:style w:type="paragraph" w:customStyle="1" w:styleId="xl82">
    <w:name w:val="xl82"/>
    <w:basedOn w:val="Normal"/>
    <w:uiPriority w:val="99"/>
    <w:rsid w:val="009477F2"/>
    <w:pPr>
      <w:pBdr>
        <w:lef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83">
    <w:name w:val="xl83"/>
    <w:basedOn w:val="Normal"/>
    <w:uiPriority w:val="99"/>
    <w:rsid w:val="009477F2"/>
    <w:pPr>
      <w:pBdr>
        <w:right w:val="single" w:sz="8" w:space="0" w:color="auto"/>
      </w:pBdr>
      <w:shd w:val="clear" w:color="000000" w:fill="DBE5F1"/>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84">
    <w:name w:val="xl84"/>
    <w:basedOn w:val="Normal"/>
    <w:uiPriority w:val="99"/>
    <w:rsid w:val="009477F2"/>
    <w:pPr>
      <w:pBdr>
        <w:right w:val="single" w:sz="8" w:space="0" w:color="auto"/>
      </w:pBdr>
      <w:spacing w:before="100" w:beforeAutospacing="1" w:after="100" w:afterAutospacing="1" w:line="240" w:lineRule="auto"/>
      <w:jc w:val="center"/>
    </w:pPr>
    <w:rPr>
      <w:rFonts w:ascii="Times New Roman" w:hAnsi="Times New Roman"/>
      <w:b/>
      <w:bCs/>
      <w:i/>
      <w:iCs/>
      <w:sz w:val="24"/>
      <w:szCs w:val="24"/>
      <w:lang w:val="es-PE" w:eastAsia="zh-CN"/>
    </w:rPr>
  </w:style>
  <w:style w:type="paragraph" w:customStyle="1" w:styleId="xl85">
    <w:name w:val="xl85"/>
    <w:basedOn w:val="Normal"/>
    <w:uiPriority w:val="99"/>
    <w:rsid w:val="009477F2"/>
    <w:pPr>
      <w:pBdr>
        <w:right w:val="single" w:sz="8" w:space="0" w:color="auto"/>
      </w:pBdr>
      <w:spacing w:before="100" w:beforeAutospacing="1" w:after="100" w:afterAutospacing="1" w:line="240" w:lineRule="auto"/>
      <w:jc w:val="center"/>
    </w:pPr>
    <w:rPr>
      <w:rFonts w:ascii="Times New Roman" w:hAnsi="Times New Roman"/>
      <w:b/>
      <w:bCs/>
      <w:i/>
      <w:iCs/>
      <w:sz w:val="24"/>
      <w:szCs w:val="24"/>
      <w:lang w:val="es-PE" w:eastAsia="zh-CN"/>
    </w:rPr>
  </w:style>
  <w:style w:type="paragraph" w:customStyle="1" w:styleId="xl86">
    <w:name w:val="xl86"/>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lang w:val="es-PE" w:eastAsia="zh-CN"/>
    </w:rPr>
  </w:style>
  <w:style w:type="character" w:styleId="nfasisintenso">
    <w:name w:val="Intense Emphasis"/>
    <w:basedOn w:val="Fuentedeprrafopredeter"/>
    <w:uiPriority w:val="99"/>
    <w:qFormat/>
    <w:rsid w:val="0069623F"/>
    <w:rPr>
      <w:rFonts w:cs="Times New Roman"/>
      <w:b/>
      <w:bCs/>
      <w:i/>
      <w:iCs/>
      <w:color w:val="4F81BD"/>
    </w:rPr>
  </w:style>
  <w:style w:type="paragraph" w:styleId="Sinespaciado">
    <w:name w:val="No Spacing"/>
    <w:uiPriority w:val="99"/>
    <w:qFormat/>
    <w:rsid w:val="008004A9"/>
    <w:rPr>
      <w:sz w:val="20"/>
      <w:szCs w:val="20"/>
      <w:lang w:val="en-US" w:eastAsia="en-US"/>
    </w:rPr>
  </w:style>
  <w:style w:type="paragraph" w:styleId="Tabladeilustraciones">
    <w:name w:val="table of figures"/>
    <w:basedOn w:val="Normal"/>
    <w:next w:val="Normal"/>
    <w:uiPriority w:val="99"/>
    <w:semiHidden/>
    <w:locked/>
    <w:rsid w:val="00610C68"/>
    <w:pPr>
      <w:spacing w:after="0"/>
    </w:pPr>
  </w:style>
  <w:style w:type="table" w:customStyle="1" w:styleId="LightList-Accent12">
    <w:name w:val="Light List - Accent 12"/>
    <w:uiPriority w:val="99"/>
    <w:rsid w:val="00AC43D3"/>
    <w:rPr>
      <w:sz w:val="20"/>
      <w:szCs w:val="20"/>
      <w:lang w:val="es-PE" w:eastAsia="es-P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staclara-nfasis5">
    <w:name w:val="Light List Accent 5"/>
    <w:basedOn w:val="Tablanormal"/>
    <w:uiPriority w:val="99"/>
    <w:rsid w:val="00AC43D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s-ES" w:eastAsia="es-E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0B26"/>
    <w:pPr>
      <w:spacing w:before="200" w:after="200" w:line="276" w:lineRule="auto"/>
    </w:pPr>
    <w:rPr>
      <w:sz w:val="20"/>
      <w:szCs w:val="20"/>
      <w:lang w:val="en-US" w:eastAsia="en-US"/>
    </w:rPr>
  </w:style>
  <w:style w:type="paragraph" w:styleId="Ttulo1">
    <w:name w:val="heading 1"/>
    <w:basedOn w:val="Normal"/>
    <w:next w:val="Normal"/>
    <w:link w:val="Ttulo1Car"/>
    <w:uiPriority w:val="99"/>
    <w:qFormat/>
    <w:rsid w:val="00180B2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tulo2">
    <w:name w:val="heading 2"/>
    <w:aliases w:val="Cuadro"/>
    <w:basedOn w:val="Normal"/>
    <w:next w:val="Normal"/>
    <w:link w:val="Ttulo2Car"/>
    <w:uiPriority w:val="99"/>
    <w:qFormat/>
    <w:rsid w:val="00180B2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tulo3">
    <w:name w:val="heading 3"/>
    <w:basedOn w:val="Normal"/>
    <w:next w:val="Normal"/>
    <w:link w:val="Ttulo3Car"/>
    <w:uiPriority w:val="99"/>
    <w:qFormat/>
    <w:locked/>
    <w:rsid w:val="00180B26"/>
    <w:pPr>
      <w:pBdr>
        <w:top w:val="single" w:sz="6" w:space="2" w:color="4F81BD"/>
        <w:left w:val="single" w:sz="6" w:space="2" w:color="4F81BD"/>
      </w:pBdr>
      <w:spacing w:before="300" w:after="0"/>
      <w:outlineLvl w:val="2"/>
    </w:pPr>
    <w:rPr>
      <w:caps/>
      <w:color w:val="243F60"/>
      <w:spacing w:val="15"/>
      <w:sz w:val="22"/>
      <w:szCs w:val="22"/>
    </w:rPr>
  </w:style>
  <w:style w:type="paragraph" w:styleId="Ttulo4">
    <w:name w:val="heading 4"/>
    <w:basedOn w:val="Normal"/>
    <w:next w:val="Normal"/>
    <w:link w:val="Ttulo4Car"/>
    <w:uiPriority w:val="99"/>
    <w:qFormat/>
    <w:locked/>
    <w:rsid w:val="00180B26"/>
    <w:pPr>
      <w:pBdr>
        <w:top w:val="dotted" w:sz="6" w:space="2" w:color="4F81BD"/>
        <w:left w:val="dotted" w:sz="6" w:space="2" w:color="4F81BD"/>
      </w:pBdr>
      <w:spacing w:before="300" w:after="0"/>
      <w:outlineLvl w:val="3"/>
    </w:pPr>
    <w:rPr>
      <w:caps/>
      <w:color w:val="365F91"/>
      <w:spacing w:val="10"/>
      <w:sz w:val="22"/>
      <w:szCs w:val="22"/>
    </w:rPr>
  </w:style>
  <w:style w:type="paragraph" w:styleId="Ttulo5">
    <w:name w:val="heading 5"/>
    <w:basedOn w:val="Normal"/>
    <w:next w:val="Normal"/>
    <w:link w:val="Ttulo5Car"/>
    <w:uiPriority w:val="99"/>
    <w:qFormat/>
    <w:locked/>
    <w:rsid w:val="00180B26"/>
    <w:pPr>
      <w:pBdr>
        <w:bottom w:val="single" w:sz="6" w:space="1" w:color="4F81BD"/>
      </w:pBdr>
      <w:spacing w:before="300" w:after="0"/>
      <w:outlineLvl w:val="4"/>
    </w:pPr>
    <w:rPr>
      <w:caps/>
      <w:color w:val="365F91"/>
      <w:spacing w:val="10"/>
      <w:sz w:val="22"/>
      <w:szCs w:val="22"/>
    </w:rPr>
  </w:style>
  <w:style w:type="paragraph" w:styleId="Ttulo6">
    <w:name w:val="heading 6"/>
    <w:basedOn w:val="Normal"/>
    <w:next w:val="Normal"/>
    <w:link w:val="Ttulo6Car"/>
    <w:uiPriority w:val="99"/>
    <w:qFormat/>
    <w:locked/>
    <w:rsid w:val="00180B26"/>
    <w:pPr>
      <w:pBdr>
        <w:bottom w:val="dotted" w:sz="6" w:space="1" w:color="4F81BD"/>
      </w:pBdr>
      <w:spacing w:before="300" w:after="0"/>
      <w:outlineLvl w:val="5"/>
    </w:pPr>
    <w:rPr>
      <w:caps/>
      <w:color w:val="365F91"/>
      <w:spacing w:val="10"/>
      <w:sz w:val="22"/>
      <w:szCs w:val="22"/>
    </w:rPr>
  </w:style>
  <w:style w:type="paragraph" w:styleId="Ttulo7">
    <w:name w:val="heading 7"/>
    <w:basedOn w:val="Normal"/>
    <w:next w:val="Normal"/>
    <w:link w:val="Ttulo7Car"/>
    <w:uiPriority w:val="99"/>
    <w:qFormat/>
    <w:locked/>
    <w:rsid w:val="00180B26"/>
    <w:pPr>
      <w:spacing w:before="300" w:after="0"/>
      <w:outlineLvl w:val="6"/>
    </w:pPr>
    <w:rPr>
      <w:caps/>
      <w:color w:val="365F91"/>
      <w:spacing w:val="10"/>
      <w:sz w:val="22"/>
      <w:szCs w:val="22"/>
    </w:rPr>
  </w:style>
  <w:style w:type="paragraph" w:styleId="Ttulo8">
    <w:name w:val="heading 8"/>
    <w:basedOn w:val="Normal"/>
    <w:next w:val="Normal"/>
    <w:link w:val="Ttulo8Car"/>
    <w:uiPriority w:val="99"/>
    <w:qFormat/>
    <w:locked/>
    <w:rsid w:val="00180B26"/>
    <w:pPr>
      <w:spacing w:before="300" w:after="0"/>
      <w:outlineLvl w:val="7"/>
    </w:pPr>
    <w:rPr>
      <w:caps/>
      <w:spacing w:val="10"/>
      <w:sz w:val="18"/>
      <w:szCs w:val="18"/>
    </w:rPr>
  </w:style>
  <w:style w:type="paragraph" w:styleId="Ttulo9">
    <w:name w:val="heading 9"/>
    <w:basedOn w:val="Normal"/>
    <w:next w:val="Normal"/>
    <w:link w:val="Ttulo9Car"/>
    <w:uiPriority w:val="99"/>
    <w:qFormat/>
    <w:locked/>
    <w:rsid w:val="00180B26"/>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80B26"/>
    <w:rPr>
      <w:rFonts w:cs="Times New Roman"/>
      <w:b/>
      <w:bCs/>
      <w:caps/>
      <w:color w:val="FFFFFF"/>
      <w:spacing w:val="15"/>
      <w:shd w:val="clear" w:color="auto" w:fill="4F81BD"/>
    </w:rPr>
  </w:style>
  <w:style w:type="character" w:customStyle="1" w:styleId="Ttulo2Car">
    <w:name w:val="Título 2 Car"/>
    <w:aliases w:val="Cuadro Car"/>
    <w:basedOn w:val="Fuentedeprrafopredeter"/>
    <w:link w:val="Ttulo2"/>
    <w:uiPriority w:val="99"/>
    <w:locked/>
    <w:rsid w:val="00180B26"/>
    <w:rPr>
      <w:rFonts w:cs="Times New Roman"/>
      <w:caps/>
      <w:spacing w:val="15"/>
      <w:shd w:val="clear" w:color="auto" w:fill="DBE5F1"/>
    </w:rPr>
  </w:style>
  <w:style w:type="character" w:customStyle="1" w:styleId="Ttulo3Car">
    <w:name w:val="Título 3 Car"/>
    <w:basedOn w:val="Fuentedeprrafopredeter"/>
    <w:link w:val="Ttulo3"/>
    <w:uiPriority w:val="99"/>
    <w:semiHidden/>
    <w:locked/>
    <w:rsid w:val="00180B26"/>
    <w:rPr>
      <w:rFonts w:cs="Times New Roman"/>
      <w:caps/>
      <w:color w:val="243F60"/>
      <w:spacing w:val="15"/>
    </w:rPr>
  </w:style>
  <w:style w:type="character" w:customStyle="1" w:styleId="Ttulo4Car">
    <w:name w:val="Título 4 Car"/>
    <w:basedOn w:val="Fuentedeprrafopredeter"/>
    <w:link w:val="Ttulo4"/>
    <w:uiPriority w:val="99"/>
    <w:semiHidden/>
    <w:locked/>
    <w:rsid w:val="00180B26"/>
    <w:rPr>
      <w:rFonts w:cs="Times New Roman"/>
      <w:caps/>
      <w:color w:val="365F91"/>
      <w:spacing w:val="10"/>
    </w:rPr>
  </w:style>
  <w:style w:type="character" w:customStyle="1" w:styleId="Ttulo5Car">
    <w:name w:val="Título 5 Car"/>
    <w:basedOn w:val="Fuentedeprrafopredeter"/>
    <w:link w:val="Ttulo5"/>
    <w:uiPriority w:val="99"/>
    <w:semiHidden/>
    <w:locked/>
    <w:rsid w:val="00180B26"/>
    <w:rPr>
      <w:rFonts w:cs="Times New Roman"/>
      <w:caps/>
      <w:color w:val="365F91"/>
      <w:spacing w:val="10"/>
    </w:rPr>
  </w:style>
  <w:style w:type="character" w:customStyle="1" w:styleId="Ttulo6Car">
    <w:name w:val="Título 6 Car"/>
    <w:basedOn w:val="Fuentedeprrafopredeter"/>
    <w:link w:val="Ttulo6"/>
    <w:uiPriority w:val="99"/>
    <w:semiHidden/>
    <w:locked/>
    <w:rsid w:val="00180B26"/>
    <w:rPr>
      <w:rFonts w:cs="Times New Roman"/>
      <w:caps/>
      <w:color w:val="365F91"/>
      <w:spacing w:val="10"/>
    </w:rPr>
  </w:style>
  <w:style w:type="character" w:customStyle="1" w:styleId="Ttulo7Car">
    <w:name w:val="Título 7 Car"/>
    <w:basedOn w:val="Fuentedeprrafopredeter"/>
    <w:link w:val="Ttulo7"/>
    <w:uiPriority w:val="99"/>
    <w:semiHidden/>
    <w:locked/>
    <w:rsid w:val="00180B26"/>
    <w:rPr>
      <w:rFonts w:cs="Times New Roman"/>
      <w:caps/>
      <w:color w:val="365F91"/>
      <w:spacing w:val="10"/>
    </w:rPr>
  </w:style>
  <w:style w:type="character" w:customStyle="1" w:styleId="Ttulo8Car">
    <w:name w:val="Título 8 Car"/>
    <w:basedOn w:val="Fuentedeprrafopredeter"/>
    <w:link w:val="Ttulo8"/>
    <w:uiPriority w:val="99"/>
    <w:semiHidden/>
    <w:locked/>
    <w:rsid w:val="00180B26"/>
    <w:rPr>
      <w:rFonts w:cs="Times New Roman"/>
      <w:caps/>
      <w:spacing w:val="10"/>
      <w:sz w:val="18"/>
      <w:szCs w:val="18"/>
    </w:rPr>
  </w:style>
  <w:style w:type="character" w:customStyle="1" w:styleId="Ttulo9Car">
    <w:name w:val="Título 9 Car"/>
    <w:basedOn w:val="Fuentedeprrafopredeter"/>
    <w:link w:val="Ttulo9"/>
    <w:uiPriority w:val="99"/>
    <w:semiHidden/>
    <w:locked/>
    <w:rsid w:val="00180B26"/>
    <w:rPr>
      <w:rFonts w:cs="Times New Roman"/>
      <w:i/>
      <w:caps/>
      <w:spacing w:val="10"/>
      <w:sz w:val="18"/>
      <w:szCs w:val="18"/>
    </w:rPr>
  </w:style>
  <w:style w:type="character" w:customStyle="1" w:styleId="apple-style-span">
    <w:name w:val="apple-style-span"/>
    <w:basedOn w:val="Fuentedeprrafopredeter"/>
    <w:uiPriority w:val="99"/>
    <w:rsid w:val="007221A7"/>
    <w:rPr>
      <w:rFonts w:cs="Times New Roman"/>
    </w:rPr>
  </w:style>
  <w:style w:type="character" w:customStyle="1" w:styleId="apple-converted-space">
    <w:name w:val="apple-converted-space"/>
    <w:basedOn w:val="Fuentedeprrafopredeter"/>
    <w:uiPriority w:val="99"/>
    <w:rsid w:val="007221A7"/>
    <w:rPr>
      <w:rFonts w:cs="Times New Roman"/>
    </w:rPr>
  </w:style>
  <w:style w:type="character" w:styleId="Hipervnculo">
    <w:name w:val="Hyperlink"/>
    <w:basedOn w:val="Fuentedeprrafopredeter"/>
    <w:uiPriority w:val="99"/>
    <w:rsid w:val="00DE7F06"/>
    <w:rPr>
      <w:rFonts w:cs="Times New Roman"/>
      <w:color w:val="0000FF"/>
      <w:u w:val="single"/>
    </w:rPr>
  </w:style>
  <w:style w:type="paragraph" w:styleId="Textonotapie">
    <w:name w:val="footnote text"/>
    <w:aliases w:val="Texto nota pie Car,fn Car,footnote text Car,Footnotes Car,Footnote ak Car Car,Texto nota pie Car Car,fn Car Car,footnote text Car Car,Footnotes Car Car"/>
    <w:basedOn w:val="Normal"/>
    <w:link w:val="TextonotapieCar1"/>
    <w:uiPriority w:val="99"/>
    <w:semiHidden/>
    <w:rsid w:val="008A745E"/>
  </w:style>
  <w:style w:type="character" w:customStyle="1" w:styleId="TextonotapieCar1">
    <w:name w:val="Texto nota pie Car1"/>
    <w:aliases w:val="Texto nota pie Car Car1,fn Car Car1,footnote text Car Car1,Footnotes Car Car1,Footnote ak Car Car Car,Texto nota pie Car Car Car,fn Car Car Car,footnote text Car Car Car,Footnotes Car Car Car"/>
    <w:basedOn w:val="Fuentedeprrafopredeter"/>
    <w:link w:val="Textonotapie"/>
    <w:uiPriority w:val="99"/>
    <w:semiHidden/>
    <w:locked/>
    <w:rsid w:val="002F1ED4"/>
    <w:rPr>
      <w:rFonts w:ascii="Calibri" w:eastAsia="SimSun" w:hAnsi="Calibri" w:cs="Times New Roman"/>
      <w:sz w:val="20"/>
      <w:szCs w:val="20"/>
    </w:rPr>
  </w:style>
  <w:style w:type="character" w:styleId="Refdenotaalpie">
    <w:name w:val="footnote reference"/>
    <w:aliases w:val="Ref,de nota al pie"/>
    <w:basedOn w:val="Fuentedeprrafopredeter"/>
    <w:uiPriority w:val="99"/>
    <w:semiHidden/>
    <w:rsid w:val="002F1ED4"/>
    <w:rPr>
      <w:rFonts w:cs="Times New Roman"/>
      <w:vertAlign w:val="superscript"/>
    </w:rPr>
  </w:style>
  <w:style w:type="table" w:styleId="Tablaconcuadrcula">
    <w:name w:val="Table Grid"/>
    <w:basedOn w:val="Tablanormal"/>
    <w:uiPriority w:val="99"/>
    <w:rsid w:val="00D922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bliography1">
    <w:name w:val="Bibliography1"/>
    <w:basedOn w:val="Normal"/>
    <w:next w:val="Normal"/>
    <w:uiPriority w:val="99"/>
    <w:rsid w:val="008A745E"/>
  </w:style>
  <w:style w:type="paragraph" w:styleId="Encabezado">
    <w:name w:val="header"/>
    <w:basedOn w:val="Normal"/>
    <w:link w:val="EncabezadoCar"/>
    <w:uiPriority w:val="99"/>
    <w:semiHidden/>
    <w:rsid w:val="008A745E"/>
    <w:pPr>
      <w:tabs>
        <w:tab w:val="center" w:pos="4419"/>
        <w:tab w:val="right" w:pos="8838"/>
      </w:tabs>
    </w:pPr>
  </w:style>
  <w:style w:type="character" w:customStyle="1" w:styleId="EncabezadoCar">
    <w:name w:val="Encabezado Car"/>
    <w:basedOn w:val="Fuentedeprrafopredeter"/>
    <w:link w:val="Encabezado"/>
    <w:uiPriority w:val="99"/>
    <w:semiHidden/>
    <w:locked/>
    <w:rsid w:val="00C00517"/>
    <w:rPr>
      <w:rFonts w:ascii="Calibri" w:eastAsia="SimSun" w:hAnsi="Calibri" w:cs="Times New Roman"/>
    </w:rPr>
  </w:style>
  <w:style w:type="paragraph" w:styleId="Piedepgina">
    <w:name w:val="footer"/>
    <w:basedOn w:val="Normal"/>
    <w:link w:val="PiedepginaCar"/>
    <w:uiPriority w:val="99"/>
    <w:rsid w:val="008A745E"/>
    <w:pPr>
      <w:tabs>
        <w:tab w:val="center" w:pos="4419"/>
        <w:tab w:val="right" w:pos="8838"/>
      </w:tabs>
    </w:pPr>
  </w:style>
  <w:style w:type="character" w:customStyle="1" w:styleId="PiedepginaCar">
    <w:name w:val="Pie de página Car"/>
    <w:basedOn w:val="Fuentedeprrafopredeter"/>
    <w:link w:val="Piedepgina"/>
    <w:uiPriority w:val="99"/>
    <w:locked/>
    <w:rsid w:val="00C00517"/>
    <w:rPr>
      <w:rFonts w:ascii="Calibri" w:eastAsia="SimSun" w:hAnsi="Calibri" w:cs="Times New Roman"/>
    </w:rPr>
  </w:style>
  <w:style w:type="character" w:styleId="Refdecomentario">
    <w:name w:val="annotation reference"/>
    <w:basedOn w:val="Fuentedeprrafopredeter"/>
    <w:uiPriority w:val="99"/>
    <w:semiHidden/>
    <w:rsid w:val="00E32A91"/>
    <w:rPr>
      <w:rFonts w:cs="Times New Roman"/>
      <w:sz w:val="16"/>
      <w:szCs w:val="16"/>
    </w:rPr>
  </w:style>
  <w:style w:type="paragraph" w:styleId="Textocomentario">
    <w:name w:val="annotation text"/>
    <w:basedOn w:val="Normal"/>
    <w:link w:val="TextocomentarioCar"/>
    <w:uiPriority w:val="99"/>
    <w:semiHidden/>
    <w:rsid w:val="008A745E"/>
  </w:style>
  <w:style w:type="character" w:customStyle="1" w:styleId="TextocomentarioCar">
    <w:name w:val="Texto comentario Car"/>
    <w:basedOn w:val="Fuentedeprrafopredeter"/>
    <w:link w:val="Textocomentario"/>
    <w:uiPriority w:val="99"/>
    <w:semiHidden/>
    <w:locked/>
    <w:rsid w:val="00E32A91"/>
    <w:rPr>
      <w:rFonts w:ascii="Calibri" w:eastAsia="SimSun"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8A745E"/>
    <w:rPr>
      <w:b/>
      <w:bCs/>
    </w:rPr>
  </w:style>
  <w:style w:type="character" w:customStyle="1" w:styleId="AsuntodelcomentarioCar">
    <w:name w:val="Asunto del comentario Car"/>
    <w:basedOn w:val="TextocomentarioCar"/>
    <w:link w:val="Asuntodelcomentario"/>
    <w:uiPriority w:val="99"/>
    <w:semiHidden/>
    <w:locked/>
    <w:rsid w:val="00E32A91"/>
    <w:rPr>
      <w:rFonts w:ascii="Calibri" w:eastAsia="SimSun" w:hAnsi="Calibri" w:cs="Times New Roman"/>
      <w:b/>
      <w:bCs/>
      <w:sz w:val="20"/>
      <w:szCs w:val="20"/>
    </w:rPr>
  </w:style>
  <w:style w:type="paragraph" w:styleId="Textodeglobo">
    <w:name w:val="Balloon Text"/>
    <w:basedOn w:val="Normal"/>
    <w:link w:val="TextodegloboCar"/>
    <w:uiPriority w:val="99"/>
    <w:semiHidden/>
    <w:rsid w:val="00E32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32A91"/>
    <w:rPr>
      <w:rFonts w:ascii="Tahoma" w:hAnsi="Tahoma" w:cs="Tahoma"/>
      <w:sz w:val="16"/>
      <w:szCs w:val="16"/>
    </w:rPr>
  </w:style>
  <w:style w:type="paragraph" w:customStyle="1" w:styleId="Revision1">
    <w:name w:val="Revision1"/>
    <w:hidden/>
    <w:uiPriority w:val="99"/>
    <w:semiHidden/>
    <w:rsid w:val="008A745E"/>
    <w:pPr>
      <w:spacing w:before="200" w:after="200" w:line="276" w:lineRule="auto"/>
    </w:pPr>
    <w:rPr>
      <w:lang w:val="es-PE" w:eastAsia="zh-CN"/>
    </w:rPr>
  </w:style>
  <w:style w:type="paragraph" w:customStyle="1" w:styleId="ListParagraph1">
    <w:name w:val="List Paragraph1"/>
    <w:basedOn w:val="Normal"/>
    <w:uiPriority w:val="99"/>
    <w:rsid w:val="008A745E"/>
    <w:pPr>
      <w:ind w:left="708"/>
    </w:pPr>
  </w:style>
  <w:style w:type="paragraph" w:customStyle="1" w:styleId="NoSpacing1">
    <w:name w:val="No Spacing1"/>
    <w:link w:val="NoSpacingChar"/>
    <w:uiPriority w:val="99"/>
    <w:rsid w:val="008A745E"/>
    <w:pPr>
      <w:spacing w:before="200" w:after="200" w:line="276" w:lineRule="auto"/>
    </w:pPr>
    <w:rPr>
      <w:lang w:eastAsia="en-US"/>
    </w:rPr>
  </w:style>
  <w:style w:type="character" w:customStyle="1" w:styleId="NoSpacingChar">
    <w:name w:val="No Spacing Char"/>
    <w:basedOn w:val="Fuentedeprrafopredeter"/>
    <w:link w:val="NoSpacing1"/>
    <w:uiPriority w:val="99"/>
    <w:locked/>
    <w:rsid w:val="00100651"/>
    <w:rPr>
      <w:rFonts w:cs="Times New Roman"/>
      <w:sz w:val="22"/>
      <w:szCs w:val="22"/>
      <w:lang w:val="es-ES" w:eastAsia="en-US" w:bidi="ar-SA"/>
    </w:rPr>
  </w:style>
  <w:style w:type="paragraph" w:customStyle="1" w:styleId="Bibliografa1">
    <w:name w:val="Bibliografía1"/>
    <w:basedOn w:val="Normal"/>
    <w:next w:val="Normal"/>
    <w:uiPriority w:val="99"/>
    <w:rsid w:val="008A745E"/>
  </w:style>
  <w:style w:type="paragraph" w:customStyle="1" w:styleId="Revisin1">
    <w:name w:val="Revisión1"/>
    <w:hidden/>
    <w:uiPriority w:val="99"/>
    <w:semiHidden/>
    <w:rsid w:val="008A745E"/>
    <w:pPr>
      <w:spacing w:before="200" w:after="200" w:line="276" w:lineRule="auto"/>
    </w:pPr>
    <w:rPr>
      <w:lang w:val="es-PE" w:eastAsia="zh-CN"/>
    </w:rPr>
  </w:style>
  <w:style w:type="paragraph" w:customStyle="1" w:styleId="Prrafodelista1">
    <w:name w:val="Párrafo de lista1"/>
    <w:basedOn w:val="Normal"/>
    <w:uiPriority w:val="99"/>
    <w:rsid w:val="008A745E"/>
    <w:pPr>
      <w:ind w:left="708"/>
    </w:pPr>
  </w:style>
  <w:style w:type="paragraph" w:customStyle="1" w:styleId="Sinespaciado1">
    <w:name w:val="Sin espaciado1"/>
    <w:uiPriority w:val="99"/>
    <w:rsid w:val="008A745E"/>
    <w:pPr>
      <w:spacing w:before="200" w:after="200" w:line="276" w:lineRule="auto"/>
    </w:pPr>
    <w:rPr>
      <w:lang w:eastAsia="en-US"/>
    </w:rPr>
  </w:style>
  <w:style w:type="paragraph" w:styleId="NormalWeb">
    <w:name w:val="Normal (Web)"/>
    <w:basedOn w:val="Normal"/>
    <w:uiPriority w:val="99"/>
    <w:semiHidden/>
    <w:rsid w:val="00303DE4"/>
    <w:pPr>
      <w:spacing w:before="100" w:beforeAutospacing="1" w:after="100" w:afterAutospacing="1" w:line="240" w:lineRule="auto"/>
    </w:pPr>
    <w:rPr>
      <w:rFonts w:ascii="Times New Roman" w:hAnsi="Times New Roman"/>
      <w:sz w:val="24"/>
      <w:szCs w:val="24"/>
    </w:rPr>
  </w:style>
  <w:style w:type="paragraph" w:styleId="Epgrafe">
    <w:name w:val="caption"/>
    <w:basedOn w:val="Normal"/>
    <w:next w:val="Normal"/>
    <w:uiPriority w:val="99"/>
    <w:qFormat/>
    <w:rsid w:val="00180B26"/>
    <w:rPr>
      <w:b/>
      <w:bCs/>
      <w:color w:val="365F91"/>
      <w:sz w:val="16"/>
      <w:szCs w:val="16"/>
    </w:rPr>
  </w:style>
  <w:style w:type="paragraph" w:customStyle="1" w:styleId="Estilotitulo3aIzquierda063cm">
    <w:name w:val="Estilo titulo3a + Izquierda:  0.63 cm"/>
    <w:basedOn w:val="Normal"/>
    <w:uiPriority w:val="99"/>
    <w:rsid w:val="00CC7347"/>
    <w:pPr>
      <w:autoSpaceDE w:val="0"/>
      <w:autoSpaceDN w:val="0"/>
      <w:adjustRightInd w:val="0"/>
      <w:spacing w:after="0" w:line="240" w:lineRule="auto"/>
      <w:ind w:left="360"/>
      <w:jc w:val="both"/>
    </w:pPr>
    <w:rPr>
      <w:rFonts w:ascii="Tahoma" w:hAnsi="Tahoma"/>
      <w:b/>
      <w:bCs/>
      <w:i/>
      <w:iCs/>
      <w:lang w:eastAsia="es-ES"/>
    </w:rPr>
  </w:style>
  <w:style w:type="paragraph" w:styleId="Textoindependiente3">
    <w:name w:val="Body Text 3"/>
    <w:basedOn w:val="Normal"/>
    <w:link w:val="Textoindependiente3Car"/>
    <w:uiPriority w:val="99"/>
    <w:rsid w:val="00E1582A"/>
    <w:pPr>
      <w:spacing w:after="0" w:line="240" w:lineRule="auto"/>
      <w:jc w:val="both"/>
    </w:pPr>
    <w:rPr>
      <w:rFonts w:ascii="Arial" w:hAnsi="Arial" w:cs="Arial"/>
      <w:b/>
      <w:bCs/>
      <w:szCs w:val="24"/>
      <w:lang w:val="es-ES" w:eastAsia="es-ES"/>
    </w:rPr>
  </w:style>
  <w:style w:type="character" w:customStyle="1" w:styleId="Textoindependiente3Car">
    <w:name w:val="Texto independiente 3 Car"/>
    <w:basedOn w:val="Fuentedeprrafopredeter"/>
    <w:link w:val="Textoindependiente3"/>
    <w:uiPriority w:val="99"/>
    <w:semiHidden/>
    <w:locked/>
    <w:rsid w:val="00754BE1"/>
    <w:rPr>
      <w:rFonts w:cs="Times New Roman"/>
      <w:sz w:val="16"/>
      <w:szCs w:val="16"/>
      <w:lang w:val="es-PE" w:eastAsia="zh-CN"/>
    </w:rPr>
  </w:style>
  <w:style w:type="paragraph" w:styleId="Textoindependiente">
    <w:name w:val="Body Text"/>
    <w:basedOn w:val="Normal"/>
    <w:link w:val="TextoindependienteCar"/>
    <w:uiPriority w:val="99"/>
    <w:rsid w:val="008A745E"/>
    <w:pPr>
      <w:spacing w:after="120"/>
    </w:pPr>
  </w:style>
  <w:style w:type="character" w:customStyle="1" w:styleId="TextoindependienteCar">
    <w:name w:val="Texto independiente Car"/>
    <w:basedOn w:val="Fuentedeprrafopredeter"/>
    <w:link w:val="Textoindependiente"/>
    <w:uiPriority w:val="99"/>
    <w:locked/>
    <w:rsid w:val="00C748C4"/>
    <w:rPr>
      <w:rFonts w:ascii="Calibri" w:eastAsia="SimSun" w:hAnsi="Calibri" w:cs="Times New Roman"/>
    </w:rPr>
  </w:style>
  <w:style w:type="paragraph" w:styleId="Mapadeldocumento">
    <w:name w:val="Document Map"/>
    <w:basedOn w:val="Normal"/>
    <w:link w:val="MapadeldocumentoCar"/>
    <w:uiPriority w:val="99"/>
    <w:semiHidden/>
    <w:rsid w:val="008A745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F90F4F"/>
    <w:rPr>
      <w:rFonts w:ascii="Tahoma" w:eastAsia="SimSun" w:hAnsi="Tahoma" w:cs="Tahoma"/>
      <w:sz w:val="16"/>
      <w:szCs w:val="16"/>
    </w:rPr>
  </w:style>
  <w:style w:type="paragraph" w:styleId="Ttulo">
    <w:name w:val="Title"/>
    <w:basedOn w:val="Normal"/>
    <w:next w:val="Normal"/>
    <w:link w:val="TtuloCar"/>
    <w:uiPriority w:val="99"/>
    <w:qFormat/>
    <w:locked/>
    <w:rsid w:val="00180B26"/>
    <w:pPr>
      <w:spacing w:before="720"/>
    </w:pPr>
    <w:rPr>
      <w:caps/>
      <w:color w:val="4F81BD"/>
      <w:spacing w:val="10"/>
      <w:kern w:val="28"/>
      <w:sz w:val="52"/>
      <w:szCs w:val="52"/>
    </w:rPr>
  </w:style>
  <w:style w:type="character" w:customStyle="1" w:styleId="TtuloCar">
    <w:name w:val="Título Car"/>
    <w:basedOn w:val="Fuentedeprrafopredeter"/>
    <w:link w:val="Ttulo"/>
    <w:uiPriority w:val="99"/>
    <w:locked/>
    <w:rsid w:val="00180B26"/>
    <w:rPr>
      <w:rFonts w:cs="Times New Roman"/>
      <w:caps/>
      <w:color w:val="4F81BD"/>
      <w:spacing w:val="10"/>
      <w:kern w:val="28"/>
      <w:sz w:val="52"/>
      <w:szCs w:val="52"/>
    </w:rPr>
  </w:style>
  <w:style w:type="paragraph" w:styleId="Subttulo">
    <w:name w:val="Subtitle"/>
    <w:basedOn w:val="Normal"/>
    <w:next w:val="Normal"/>
    <w:link w:val="SubttuloCar"/>
    <w:uiPriority w:val="99"/>
    <w:qFormat/>
    <w:locked/>
    <w:rsid w:val="00180B26"/>
    <w:pPr>
      <w:spacing w:after="1000" w:line="240" w:lineRule="auto"/>
    </w:pPr>
    <w:rPr>
      <w:caps/>
      <w:color w:val="595959"/>
      <w:spacing w:val="10"/>
      <w:sz w:val="24"/>
      <w:szCs w:val="24"/>
    </w:rPr>
  </w:style>
  <w:style w:type="character" w:customStyle="1" w:styleId="SubttuloCar">
    <w:name w:val="Subtítulo Car"/>
    <w:basedOn w:val="Fuentedeprrafopredeter"/>
    <w:link w:val="Subttulo"/>
    <w:uiPriority w:val="99"/>
    <w:locked/>
    <w:rsid w:val="00180B26"/>
    <w:rPr>
      <w:rFonts w:cs="Times New Roman"/>
      <w:caps/>
      <w:color w:val="595959"/>
      <w:spacing w:val="10"/>
      <w:sz w:val="24"/>
      <w:szCs w:val="24"/>
    </w:rPr>
  </w:style>
  <w:style w:type="character" w:styleId="Textoennegrita">
    <w:name w:val="Strong"/>
    <w:basedOn w:val="Fuentedeprrafopredeter"/>
    <w:uiPriority w:val="99"/>
    <w:qFormat/>
    <w:locked/>
    <w:rsid w:val="00180B26"/>
    <w:rPr>
      <w:rFonts w:cs="Times New Roman"/>
      <w:b/>
    </w:rPr>
  </w:style>
  <w:style w:type="character" w:styleId="nfasis">
    <w:name w:val="Emphasis"/>
    <w:basedOn w:val="Fuentedeprrafopredeter"/>
    <w:uiPriority w:val="99"/>
    <w:qFormat/>
    <w:locked/>
    <w:rsid w:val="00180B26"/>
    <w:rPr>
      <w:rFonts w:cs="Times New Roman"/>
      <w:caps/>
      <w:color w:val="243F60"/>
      <w:spacing w:val="5"/>
    </w:rPr>
  </w:style>
  <w:style w:type="paragraph" w:customStyle="1" w:styleId="Sinespaciado2">
    <w:name w:val="Sin espaciado2"/>
    <w:basedOn w:val="Normal"/>
    <w:link w:val="NoSpacingChar1"/>
    <w:uiPriority w:val="99"/>
    <w:rsid w:val="00180B26"/>
    <w:pPr>
      <w:spacing w:before="0" w:after="0" w:line="240" w:lineRule="auto"/>
    </w:pPr>
  </w:style>
  <w:style w:type="character" w:customStyle="1" w:styleId="NoSpacingChar1">
    <w:name w:val="No Spacing Char1"/>
    <w:basedOn w:val="Fuentedeprrafopredeter"/>
    <w:link w:val="Sinespaciado2"/>
    <w:uiPriority w:val="99"/>
    <w:locked/>
    <w:rsid w:val="00180B26"/>
    <w:rPr>
      <w:rFonts w:cs="Times New Roman"/>
      <w:sz w:val="20"/>
      <w:szCs w:val="20"/>
    </w:rPr>
  </w:style>
  <w:style w:type="paragraph" w:customStyle="1" w:styleId="Prrafodelista2">
    <w:name w:val="Párrafo de lista2"/>
    <w:basedOn w:val="Normal"/>
    <w:uiPriority w:val="99"/>
    <w:rsid w:val="00180B26"/>
    <w:pPr>
      <w:ind w:left="720"/>
    </w:pPr>
  </w:style>
  <w:style w:type="paragraph" w:customStyle="1" w:styleId="Cita1">
    <w:name w:val="Cita1"/>
    <w:basedOn w:val="Normal"/>
    <w:next w:val="Normal"/>
    <w:link w:val="QuoteChar"/>
    <w:uiPriority w:val="99"/>
    <w:rsid w:val="00180B26"/>
    <w:rPr>
      <w:i/>
      <w:iCs/>
    </w:rPr>
  </w:style>
  <w:style w:type="character" w:customStyle="1" w:styleId="QuoteChar">
    <w:name w:val="Quote Char"/>
    <w:basedOn w:val="Fuentedeprrafopredeter"/>
    <w:link w:val="Cita1"/>
    <w:uiPriority w:val="99"/>
    <w:locked/>
    <w:rsid w:val="00180B26"/>
    <w:rPr>
      <w:rFonts w:cs="Times New Roman"/>
      <w:i/>
      <w:iCs/>
      <w:sz w:val="20"/>
      <w:szCs w:val="20"/>
    </w:rPr>
  </w:style>
  <w:style w:type="paragraph" w:customStyle="1" w:styleId="Citadestacada1">
    <w:name w:val="Cita destacada1"/>
    <w:basedOn w:val="Normal"/>
    <w:next w:val="Normal"/>
    <w:link w:val="IntenseQuoteChar"/>
    <w:uiPriority w:val="99"/>
    <w:rsid w:val="00180B26"/>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Fuentedeprrafopredeter"/>
    <w:link w:val="Citadestacada1"/>
    <w:uiPriority w:val="99"/>
    <w:locked/>
    <w:rsid w:val="00180B26"/>
    <w:rPr>
      <w:rFonts w:cs="Times New Roman"/>
      <w:i/>
      <w:iCs/>
      <w:color w:val="4F81BD"/>
      <w:sz w:val="20"/>
      <w:szCs w:val="20"/>
    </w:rPr>
  </w:style>
  <w:style w:type="character" w:customStyle="1" w:styleId="nfasissutil1">
    <w:name w:val="Énfasis sutil1"/>
    <w:basedOn w:val="Fuentedeprrafopredeter"/>
    <w:uiPriority w:val="99"/>
    <w:rsid w:val="00180B26"/>
    <w:rPr>
      <w:rFonts w:cs="Times New Roman"/>
      <w:i/>
      <w:color w:val="243F60"/>
    </w:rPr>
  </w:style>
  <w:style w:type="character" w:customStyle="1" w:styleId="nfasisintenso1">
    <w:name w:val="Énfasis intenso1"/>
    <w:basedOn w:val="Fuentedeprrafopredeter"/>
    <w:uiPriority w:val="99"/>
    <w:rsid w:val="00180B26"/>
    <w:rPr>
      <w:rFonts w:cs="Times New Roman"/>
      <w:b/>
      <w:caps/>
      <w:color w:val="243F60"/>
      <w:spacing w:val="10"/>
    </w:rPr>
  </w:style>
  <w:style w:type="character" w:customStyle="1" w:styleId="Referenciasutil1">
    <w:name w:val="Referencia sutil1"/>
    <w:basedOn w:val="Fuentedeprrafopredeter"/>
    <w:uiPriority w:val="99"/>
    <w:rsid w:val="00180B26"/>
    <w:rPr>
      <w:rFonts w:cs="Times New Roman"/>
      <w:b/>
      <w:color w:val="4F81BD"/>
    </w:rPr>
  </w:style>
  <w:style w:type="character" w:customStyle="1" w:styleId="Referenciaintensa1">
    <w:name w:val="Referencia intensa1"/>
    <w:basedOn w:val="Fuentedeprrafopredeter"/>
    <w:uiPriority w:val="99"/>
    <w:rsid w:val="00180B26"/>
    <w:rPr>
      <w:rFonts w:cs="Times New Roman"/>
      <w:b/>
      <w:i/>
      <w:caps/>
      <w:color w:val="4F81BD"/>
    </w:rPr>
  </w:style>
  <w:style w:type="character" w:customStyle="1" w:styleId="Ttulodellibro1">
    <w:name w:val="Título del libro1"/>
    <w:basedOn w:val="Fuentedeprrafopredeter"/>
    <w:uiPriority w:val="99"/>
    <w:rsid w:val="00180B26"/>
    <w:rPr>
      <w:rFonts w:cs="Times New Roman"/>
      <w:b/>
      <w:i/>
      <w:spacing w:val="9"/>
    </w:rPr>
  </w:style>
  <w:style w:type="paragraph" w:customStyle="1" w:styleId="TtulodeTDC1">
    <w:name w:val="Título de TDC1"/>
    <w:basedOn w:val="Ttulo1"/>
    <w:next w:val="Normal"/>
    <w:uiPriority w:val="99"/>
    <w:rsid w:val="00180B26"/>
    <w:pPr>
      <w:outlineLvl w:val="9"/>
    </w:pPr>
  </w:style>
  <w:style w:type="table" w:customStyle="1" w:styleId="LightShading-Accent11">
    <w:name w:val="Light Shading - Accent 11"/>
    <w:uiPriority w:val="99"/>
    <w:rsid w:val="00440186"/>
    <w:rPr>
      <w:color w:val="365F91"/>
      <w:sz w:val="20"/>
      <w:szCs w:val="20"/>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440186"/>
    <w:rPr>
      <w:sz w:val="20"/>
      <w:szCs w:val="2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2-Accent11">
    <w:name w:val="Medium Shading 2 - Accent 11"/>
    <w:uiPriority w:val="99"/>
    <w:rsid w:val="00440186"/>
    <w:rPr>
      <w:sz w:val="20"/>
      <w:szCs w:val="20"/>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CarCar5">
    <w:name w:val="Car Car5"/>
    <w:basedOn w:val="Fuentedeprrafopredeter"/>
    <w:uiPriority w:val="99"/>
    <w:rsid w:val="00E82D66"/>
    <w:rPr>
      <w:rFonts w:cs="Times New Roman"/>
    </w:rPr>
  </w:style>
  <w:style w:type="character" w:customStyle="1" w:styleId="CarCar2">
    <w:name w:val="Car Car2"/>
    <w:basedOn w:val="Fuentedeprrafopredeter"/>
    <w:uiPriority w:val="99"/>
    <w:rsid w:val="00E82D66"/>
    <w:rPr>
      <w:rFonts w:cs="Times New Roman"/>
    </w:rPr>
  </w:style>
  <w:style w:type="paragraph" w:styleId="Prrafodelista">
    <w:name w:val="List Paragraph"/>
    <w:basedOn w:val="Normal"/>
    <w:uiPriority w:val="99"/>
    <w:qFormat/>
    <w:rsid w:val="00A46D15"/>
    <w:pPr>
      <w:ind w:left="720"/>
    </w:pPr>
  </w:style>
  <w:style w:type="paragraph" w:styleId="TtulodeTDC">
    <w:name w:val="TOC Heading"/>
    <w:basedOn w:val="Ttulo1"/>
    <w:next w:val="Normal"/>
    <w:uiPriority w:val="99"/>
    <w:qFormat/>
    <w:rsid w:val="003E786A"/>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s-ES"/>
    </w:rPr>
  </w:style>
  <w:style w:type="paragraph" w:styleId="TDC1">
    <w:name w:val="toc 1"/>
    <w:basedOn w:val="Normal"/>
    <w:next w:val="Normal"/>
    <w:autoRedefine/>
    <w:uiPriority w:val="99"/>
    <w:locked/>
    <w:rsid w:val="003E786A"/>
  </w:style>
  <w:style w:type="paragraph" w:styleId="TDC2">
    <w:name w:val="toc 2"/>
    <w:basedOn w:val="Normal"/>
    <w:next w:val="Normal"/>
    <w:autoRedefine/>
    <w:uiPriority w:val="99"/>
    <w:locked/>
    <w:rsid w:val="003E786A"/>
    <w:pPr>
      <w:ind w:left="200"/>
    </w:pPr>
  </w:style>
  <w:style w:type="paragraph" w:styleId="TDC3">
    <w:name w:val="toc 3"/>
    <w:basedOn w:val="Normal"/>
    <w:next w:val="Normal"/>
    <w:autoRedefine/>
    <w:uiPriority w:val="99"/>
    <w:locked/>
    <w:rsid w:val="003E786A"/>
    <w:pPr>
      <w:ind w:left="400"/>
    </w:pPr>
  </w:style>
  <w:style w:type="character" w:styleId="Hipervnculovisitado">
    <w:name w:val="FollowedHyperlink"/>
    <w:basedOn w:val="Fuentedeprrafopredeter"/>
    <w:uiPriority w:val="99"/>
    <w:semiHidden/>
    <w:locked/>
    <w:rsid w:val="009477F2"/>
    <w:rPr>
      <w:rFonts w:cs="Times New Roman"/>
      <w:color w:val="800080"/>
      <w:u w:val="single"/>
    </w:rPr>
  </w:style>
  <w:style w:type="paragraph" w:customStyle="1" w:styleId="xl63">
    <w:name w:val="xl63"/>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4">
    <w:name w:val="xl64"/>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5">
    <w:name w:val="xl65"/>
    <w:basedOn w:val="Normal"/>
    <w:uiPriority w:val="99"/>
    <w:rsid w:val="009477F2"/>
    <w:pPr>
      <w:pBdr>
        <w:top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6">
    <w:name w:val="xl66"/>
    <w:basedOn w:val="Normal"/>
    <w:uiPriority w:val="99"/>
    <w:rsid w:val="009477F2"/>
    <w:pPr>
      <w:pBdr>
        <w:top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67">
    <w:name w:val="xl67"/>
    <w:basedOn w:val="Normal"/>
    <w:uiPriority w:val="99"/>
    <w:rsid w:val="009477F2"/>
    <w:pPr>
      <w:pBdr>
        <w:top w:val="single" w:sz="8" w:space="0" w:color="auto"/>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68">
    <w:name w:val="xl68"/>
    <w:basedOn w:val="Normal"/>
    <w:uiPriority w:val="99"/>
    <w:rsid w:val="009477F2"/>
    <w:pPr>
      <w:pBdr>
        <w:righ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69">
    <w:name w:val="xl69"/>
    <w:basedOn w:val="Normal"/>
    <w:uiPriority w:val="99"/>
    <w:rsid w:val="009477F2"/>
    <w:pPr>
      <w:pBdr>
        <w:top w:val="single" w:sz="8" w:space="0" w:color="auto"/>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0">
    <w:name w:val="xl70"/>
    <w:basedOn w:val="Normal"/>
    <w:uiPriority w:val="99"/>
    <w:rsid w:val="009477F2"/>
    <w:pPr>
      <w:pBdr>
        <w:left w:val="single" w:sz="8" w:space="0" w:color="auto"/>
        <w:right w:val="single" w:sz="8" w:space="0" w:color="auto"/>
      </w:pBdr>
      <w:shd w:val="clear" w:color="000000" w:fill="DBE5F1"/>
      <w:spacing w:before="100" w:beforeAutospacing="1" w:after="100" w:afterAutospacing="1" w:line="240" w:lineRule="auto"/>
    </w:pPr>
    <w:rPr>
      <w:rFonts w:ascii="Times New Roman" w:hAnsi="Times New Roman"/>
      <w:b/>
      <w:bCs/>
      <w:sz w:val="24"/>
      <w:szCs w:val="24"/>
      <w:lang w:val="es-PE" w:eastAsia="zh-CN"/>
    </w:rPr>
  </w:style>
  <w:style w:type="paragraph" w:customStyle="1" w:styleId="xl71">
    <w:name w:val="xl71"/>
    <w:basedOn w:val="Normal"/>
    <w:uiPriority w:val="99"/>
    <w:rsid w:val="009477F2"/>
    <w:pPr>
      <w:pBdr>
        <w:left w:val="single" w:sz="8" w:space="0" w:color="auto"/>
        <w:right w:val="single" w:sz="8" w:space="0" w:color="auto"/>
      </w:pBdr>
      <w:spacing w:before="100" w:beforeAutospacing="1" w:after="100" w:afterAutospacing="1" w:line="240" w:lineRule="auto"/>
    </w:pPr>
    <w:rPr>
      <w:rFonts w:ascii="Times New Roman" w:hAnsi="Times New Roman"/>
      <w:b/>
      <w:bCs/>
      <w:i/>
      <w:iCs/>
      <w:sz w:val="24"/>
      <w:szCs w:val="24"/>
      <w:lang w:val="es-PE" w:eastAsia="zh-CN"/>
    </w:rPr>
  </w:style>
  <w:style w:type="paragraph" w:customStyle="1" w:styleId="xl72">
    <w:name w:val="xl72"/>
    <w:basedOn w:val="Normal"/>
    <w:uiPriority w:val="99"/>
    <w:rsid w:val="009477F2"/>
    <w:pPr>
      <w:pBdr>
        <w:left w:val="single" w:sz="8" w:space="7" w:color="auto"/>
        <w:right w:val="single" w:sz="8" w:space="0" w:color="auto"/>
      </w:pBdr>
      <w:spacing w:before="100" w:beforeAutospacing="1" w:after="100" w:afterAutospacing="1" w:line="240" w:lineRule="auto"/>
      <w:ind w:firstLineChars="100" w:firstLine="100"/>
    </w:pPr>
    <w:rPr>
      <w:rFonts w:ascii="Times New Roman" w:hAnsi="Times New Roman"/>
      <w:sz w:val="24"/>
      <w:szCs w:val="24"/>
      <w:lang w:val="es-PE" w:eastAsia="zh-CN"/>
    </w:rPr>
  </w:style>
  <w:style w:type="paragraph" w:customStyle="1" w:styleId="xl73">
    <w:name w:val="xl73"/>
    <w:basedOn w:val="Normal"/>
    <w:uiPriority w:val="99"/>
    <w:rsid w:val="009477F2"/>
    <w:pPr>
      <w:pBdr>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4">
    <w:name w:val="xl74"/>
    <w:basedOn w:val="Normal"/>
    <w:uiPriority w:val="99"/>
    <w:rsid w:val="009477F2"/>
    <w:pPr>
      <w:pBdr>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Times New Roman" w:hAnsi="Times New Roman"/>
      <w:sz w:val="24"/>
      <w:szCs w:val="24"/>
      <w:lang w:val="es-PE" w:eastAsia="zh-CN"/>
    </w:rPr>
  </w:style>
  <w:style w:type="paragraph" w:customStyle="1" w:styleId="xl75">
    <w:name w:val="xl75"/>
    <w:basedOn w:val="Normal"/>
    <w:uiPriority w:val="99"/>
    <w:rsid w:val="009477F2"/>
    <w:pPr>
      <w:pBdr>
        <w:top w:val="single" w:sz="8" w:space="0" w:color="auto"/>
        <w:left w:val="single" w:sz="8" w:space="0" w:color="auto"/>
        <w:right w:val="single" w:sz="8" w:space="0" w:color="auto"/>
      </w:pBdr>
      <w:shd w:val="clear" w:color="000000" w:fill="95B3D7"/>
      <w:spacing w:before="100" w:beforeAutospacing="1" w:after="100" w:afterAutospacing="1" w:line="240" w:lineRule="auto"/>
    </w:pPr>
    <w:rPr>
      <w:rFonts w:ascii="Times New Roman" w:hAnsi="Times New Roman"/>
      <w:b/>
      <w:bCs/>
      <w:sz w:val="24"/>
      <w:szCs w:val="24"/>
      <w:u w:val="single"/>
      <w:lang w:val="es-PE" w:eastAsia="zh-CN"/>
    </w:rPr>
  </w:style>
  <w:style w:type="paragraph" w:customStyle="1" w:styleId="xl76">
    <w:name w:val="xl76"/>
    <w:basedOn w:val="Normal"/>
    <w:uiPriority w:val="99"/>
    <w:rsid w:val="009477F2"/>
    <w:pPr>
      <w:pBdr>
        <w:lef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7">
    <w:name w:val="xl77"/>
    <w:basedOn w:val="Normal"/>
    <w:uiPriority w:val="99"/>
    <w:rsid w:val="009477F2"/>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8">
    <w:name w:val="xl78"/>
    <w:basedOn w:val="Normal"/>
    <w:uiPriority w:val="99"/>
    <w:rsid w:val="009477F2"/>
    <w:pPr>
      <w:pBdr>
        <w:righ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79">
    <w:name w:val="xl79"/>
    <w:basedOn w:val="Normal"/>
    <w:uiPriority w:val="99"/>
    <w:rsid w:val="009477F2"/>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s-PE" w:eastAsia="zh-CN"/>
    </w:rPr>
  </w:style>
  <w:style w:type="paragraph" w:customStyle="1" w:styleId="xl80">
    <w:name w:val="xl80"/>
    <w:basedOn w:val="Normal"/>
    <w:uiPriority w:val="99"/>
    <w:rsid w:val="009477F2"/>
    <w:pPr>
      <w:pBdr>
        <w:top w:val="single" w:sz="8" w:space="0" w:color="auto"/>
        <w:lef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81">
    <w:name w:val="xl81"/>
    <w:basedOn w:val="Normal"/>
    <w:uiPriority w:val="99"/>
    <w:rsid w:val="009477F2"/>
    <w:pPr>
      <w:pBdr>
        <w:left w:val="single" w:sz="8" w:space="0" w:color="auto"/>
      </w:pBdr>
      <w:shd w:val="clear" w:color="000000" w:fill="DBE5F1"/>
      <w:spacing w:before="100" w:beforeAutospacing="1" w:after="100" w:afterAutospacing="1" w:line="240" w:lineRule="auto"/>
    </w:pPr>
    <w:rPr>
      <w:rFonts w:ascii="Times New Roman" w:hAnsi="Times New Roman"/>
      <w:b/>
      <w:bCs/>
      <w:sz w:val="24"/>
      <w:szCs w:val="24"/>
      <w:lang w:val="es-PE" w:eastAsia="zh-CN"/>
    </w:rPr>
  </w:style>
  <w:style w:type="paragraph" w:customStyle="1" w:styleId="xl82">
    <w:name w:val="xl82"/>
    <w:basedOn w:val="Normal"/>
    <w:uiPriority w:val="99"/>
    <w:rsid w:val="009477F2"/>
    <w:pPr>
      <w:pBdr>
        <w:left w:val="single" w:sz="8" w:space="0" w:color="auto"/>
      </w:pBdr>
      <w:shd w:val="clear" w:color="000000" w:fill="95B3D7"/>
      <w:spacing w:before="100" w:beforeAutospacing="1" w:after="100" w:afterAutospacing="1" w:line="240" w:lineRule="auto"/>
      <w:jc w:val="center"/>
    </w:pPr>
    <w:rPr>
      <w:rFonts w:ascii="Times New Roman" w:hAnsi="Times New Roman"/>
      <w:b/>
      <w:bCs/>
      <w:sz w:val="24"/>
      <w:szCs w:val="24"/>
      <w:u w:val="single"/>
      <w:lang w:val="es-PE" w:eastAsia="zh-CN"/>
    </w:rPr>
  </w:style>
  <w:style w:type="paragraph" w:customStyle="1" w:styleId="xl83">
    <w:name w:val="xl83"/>
    <w:basedOn w:val="Normal"/>
    <w:uiPriority w:val="99"/>
    <w:rsid w:val="009477F2"/>
    <w:pPr>
      <w:pBdr>
        <w:right w:val="single" w:sz="8" w:space="0" w:color="auto"/>
      </w:pBdr>
      <w:shd w:val="clear" w:color="000000" w:fill="DBE5F1"/>
      <w:spacing w:before="100" w:beforeAutospacing="1" w:after="100" w:afterAutospacing="1" w:line="240" w:lineRule="auto"/>
      <w:jc w:val="center"/>
    </w:pPr>
    <w:rPr>
      <w:rFonts w:ascii="Times New Roman" w:hAnsi="Times New Roman"/>
      <w:b/>
      <w:bCs/>
      <w:sz w:val="24"/>
      <w:szCs w:val="24"/>
      <w:lang w:val="es-PE" w:eastAsia="zh-CN"/>
    </w:rPr>
  </w:style>
  <w:style w:type="paragraph" w:customStyle="1" w:styleId="xl84">
    <w:name w:val="xl84"/>
    <w:basedOn w:val="Normal"/>
    <w:uiPriority w:val="99"/>
    <w:rsid w:val="009477F2"/>
    <w:pPr>
      <w:pBdr>
        <w:right w:val="single" w:sz="8" w:space="0" w:color="auto"/>
      </w:pBdr>
      <w:spacing w:before="100" w:beforeAutospacing="1" w:after="100" w:afterAutospacing="1" w:line="240" w:lineRule="auto"/>
      <w:jc w:val="center"/>
    </w:pPr>
    <w:rPr>
      <w:rFonts w:ascii="Times New Roman" w:hAnsi="Times New Roman"/>
      <w:b/>
      <w:bCs/>
      <w:i/>
      <w:iCs/>
      <w:sz w:val="24"/>
      <w:szCs w:val="24"/>
      <w:lang w:val="es-PE" w:eastAsia="zh-CN"/>
    </w:rPr>
  </w:style>
  <w:style w:type="paragraph" w:customStyle="1" w:styleId="xl85">
    <w:name w:val="xl85"/>
    <w:basedOn w:val="Normal"/>
    <w:uiPriority w:val="99"/>
    <w:rsid w:val="009477F2"/>
    <w:pPr>
      <w:pBdr>
        <w:right w:val="single" w:sz="8" w:space="0" w:color="auto"/>
      </w:pBdr>
      <w:spacing w:before="100" w:beforeAutospacing="1" w:after="100" w:afterAutospacing="1" w:line="240" w:lineRule="auto"/>
      <w:jc w:val="center"/>
    </w:pPr>
    <w:rPr>
      <w:rFonts w:ascii="Times New Roman" w:hAnsi="Times New Roman"/>
      <w:b/>
      <w:bCs/>
      <w:i/>
      <w:iCs/>
      <w:sz w:val="24"/>
      <w:szCs w:val="24"/>
      <w:lang w:val="es-PE" w:eastAsia="zh-CN"/>
    </w:rPr>
  </w:style>
  <w:style w:type="paragraph" w:customStyle="1" w:styleId="xl86">
    <w:name w:val="xl86"/>
    <w:basedOn w:val="Normal"/>
    <w:uiPriority w:val="99"/>
    <w:rsid w:val="009477F2"/>
    <w:pPr>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lang w:val="es-PE" w:eastAsia="zh-CN"/>
    </w:rPr>
  </w:style>
  <w:style w:type="character" w:styleId="nfasisintenso">
    <w:name w:val="Intense Emphasis"/>
    <w:basedOn w:val="Fuentedeprrafopredeter"/>
    <w:uiPriority w:val="99"/>
    <w:qFormat/>
    <w:rsid w:val="0069623F"/>
    <w:rPr>
      <w:rFonts w:cs="Times New Roman"/>
      <w:b/>
      <w:bCs/>
      <w:i/>
      <w:iCs/>
      <w:color w:val="4F81BD"/>
    </w:rPr>
  </w:style>
  <w:style w:type="paragraph" w:styleId="Sinespaciado">
    <w:name w:val="No Spacing"/>
    <w:uiPriority w:val="99"/>
    <w:qFormat/>
    <w:rsid w:val="008004A9"/>
    <w:rPr>
      <w:sz w:val="20"/>
      <w:szCs w:val="20"/>
      <w:lang w:val="en-US" w:eastAsia="en-US"/>
    </w:rPr>
  </w:style>
  <w:style w:type="paragraph" w:styleId="Tabladeilustraciones">
    <w:name w:val="table of figures"/>
    <w:basedOn w:val="Normal"/>
    <w:next w:val="Normal"/>
    <w:uiPriority w:val="99"/>
    <w:semiHidden/>
    <w:locked/>
    <w:rsid w:val="00610C68"/>
    <w:pPr>
      <w:spacing w:after="0"/>
    </w:pPr>
  </w:style>
  <w:style w:type="table" w:customStyle="1" w:styleId="LightList-Accent12">
    <w:name w:val="Light List - Accent 12"/>
    <w:uiPriority w:val="99"/>
    <w:rsid w:val="00AC43D3"/>
    <w:rPr>
      <w:sz w:val="20"/>
      <w:szCs w:val="20"/>
      <w:lang w:val="es-PE" w:eastAsia="es-P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staclara-nfasis5">
    <w:name w:val="Light List Accent 5"/>
    <w:basedOn w:val="Tablanormal"/>
    <w:uiPriority w:val="99"/>
    <w:rsid w:val="00AC43D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70708">
      <w:marLeft w:val="0"/>
      <w:marRight w:val="0"/>
      <w:marTop w:val="0"/>
      <w:marBottom w:val="0"/>
      <w:divBdr>
        <w:top w:val="none" w:sz="0" w:space="0" w:color="auto"/>
        <w:left w:val="none" w:sz="0" w:space="0" w:color="auto"/>
        <w:bottom w:val="none" w:sz="0" w:space="0" w:color="auto"/>
        <w:right w:val="none" w:sz="0" w:space="0" w:color="auto"/>
      </w:divBdr>
    </w:div>
    <w:div w:id="406270709">
      <w:marLeft w:val="0"/>
      <w:marRight w:val="0"/>
      <w:marTop w:val="0"/>
      <w:marBottom w:val="0"/>
      <w:divBdr>
        <w:top w:val="none" w:sz="0" w:space="0" w:color="auto"/>
        <w:left w:val="none" w:sz="0" w:space="0" w:color="auto"/>
        <w:bottom w:val="none" w:sz="0" w:space="0" w:color="auto"/>
        <w:right w:val="none" w:sz="0" w:space="0" w:color="auto"/>
      </w:divBdr>
    </w:div>
    <w:div w:id="406270710">
      <w:marLeft w:val="0"/>
      <w:marRight w:val="0"/>
      <w:marTop w:val="0"/>
      <w:marBottom w:val="0"/>
      <w:divBdr>
        <w:top w:val="none" w:sz="0" w:space="0" w:color="auto"/>
        <w:left w:val="none" w:sz="0" w:space="0" w:color="auto"/>
        <w:bottom w:val="none" w:sz="0" w:space="0" w:color="auto"/>
        <w:right w:val="none" w:sz="0" w:space="0" w:color="auto"/>
      </w:divBdr>
    </w:div>
    <w:div w:id="406270711">
      <w:marLeft w:val="0"/>
      <w:marRight w:val="0"/>
      <w:marTop w:val="0"/>
      <w:marBottom w:val="0"/>
      <w:divBdr>
        <w:top w:val="none" w:sz="0" w:space="0" w:color="auto"/>
        <w:left w:val="none" w:sz="0" w:space="0" w:color="auto"/>
        <w:bottom w:val="none" w:sz="0" w:space="0" w:color="auto"/>
        <w:right w:val="none" w:sz="0" w:space="0" w:color="auto"/>
      </w:divBdr>
    </w:div>
    <w:div w:id="406270712">
      <w:marLeft w:val="0"/>
      <w:marRight w:val="0"/>
      <w:marTop w:val="0"/>
      <w:marBottom w:val="0"/>
      <w:divBdr>
        <w:top w:val="none" w:sz="0" w:space="0" w:color="auto"/>
        <w:left w:val="none" w:sz="0" w:space="0" w:color="auto"/>
        <w:bottom w:val="none" w:sz="0" w:space="0" w:color="auto"/>
        <w:right w:val="none" w:sz="0" w:space="0" w:color="auto"/>
      </w:divBdr>
    </w:div>
    <w:div w:id="406270713">
      <w:marLeft w:val="0"/>
      <w:marRight w:val="0"/>
      <w:marTop w:val="0"/>
      <w:marBottom w:val="0"/>
      <w:divBdr>
        <w:top w:val="none" w:sz="0" w:space="0" w:color="auto"/>
        <w:left w:val="none" w:sz="0" w:space="0" w:color="auto"/>
        <w:bottom w:val="none" w:sz="0" w:space="0" w:color="auto"/>
        <w:right w:val="none" w:sz="0" w:space="0" w:color="auto"/>
      </w:divBdr>
    </w:div>
    <w:div w:id="406270714">
      <w:marLeft w:val="0"/>
      <w:marRight w:val="0"/>
      <w:marTop w:val="0"/>
      <w:marBottom w:val="0"/>
      <w:divBdr>
        <w:top w:val="none" w:sz="0" w:space="0" w:color="auto"/>
        <w:left w:val="none" w:sz="0" w:space="0" w:color="auto"/>
        <w:bottom w:val="none" w:sz="0" w:space="0" w:color="auto"/>
        <w:right w:val="none" w:sz="0" w:space="0" w:color="auto"/>
      </w:divBdr>
    </w:div>
    <w:div w:id="406270715">
      <w:marLeft w:val="0"/>
      <w:marRight w:val="0"/>
      <w:marTop w:val="0"/>
      <w:marBottom w:val="0"/>
      <w:divBdr>
        <w:top w:val="none" w:sz="0" w:space="0" w:color="auto"/>
        <w:left w:val="none" w:sz="0" w:space="0" w:color="auto"/>
        <w:bottom w:val="none" w:sz="0" w:space="0" w:color="auto"/>
        <w:right w:val="none" w:sz="0" w:space="0" w:color="auto"/>
      </w:divBdr>
    </w:div>
    <w:div w:id="406270716">
      <w:marLeft w:val="0"/>
      <w:marRight w:val="0"/>
      <w:marTop w:val="0"/>
      <w:marBottom w:val="0"/>
      <w:divBdr>
        <w:top w:val="none" w:sz="0" w:space="0" w:color="auto"/>
        <w:left w:val="none" w:sz="0" w:space="0" w:color="auto"/>
        <w:bottom w:val="none" w:sz="0" w:space="0" w:color="auto"/>
        <w:right w:val="none" w:sz="0" w:space="0" w:color="auto"/>
      </w:divBdr>
    </w:div>
    <w:div w:id="406270717">
      <w:marLeft w:val="0"/>
      <w:marRight w:val="0"/>
      <w:marTop w:val="0"/>
      <w:marBottom w:val="0"/>
      <w:divBdr>
        <w:top w:val="none" w:sz="0" w:space="0" w:color="auto"/>
        <w:left w:val="none" w:sz="0" w:space="0" w:color="auto"/>
        <w:bottom w:val="none" w:sz="0" w:space="0" w:color="auto"/>
        <w:right w:val="none" w:sz="0" w:space="0" w:color="auto"/>
      </w:divBdr>
    </w:div>
    <w:div w:id="406270718">
      <w:marLeft w:val="0"/>
      <w:marRight w:val="0"/>
      <w:marTop w:val="0"/>
      <w:marBottom w:val="0"/>
      <w:divBdr>
        <w:top w:val="none" w:sz="0" w:space="0" w:color="auto"/>
        <w:left w:val="none" w:sz="0" w:space="0" w:color="auto"/>
        <w:bottom w:val="none" w:sz="0" w:space="0" w:color="auto"/>
        <w:right w:val="none" w:sz="0" w:space="0" w:color="auto"/>
      </w:divBdr>
    </w:div>
    <w:div w:id="406270719">
      <w:marLeft w:val="0"/>
      <w:marRight w:val="0"/>
      <w:marTop w:val="0"/>
      <w:marBottom w:val="0"/>
      <w:divBdr>
        <w:top w:val="none" w:sz="0" w:space="0" w:color="auto"/>
        <w:left w:val="none" w:sz="0" w:space="0" w:color="auto"/>
        <w:bottom w:val="none" w:sz="0" w:space="0" w:color="auto"/>
        <w:right w:val="none" w:sz="0" w:space="0" w:color="auto"/>
      </w:divBdr>
    </w:div>
    <w:div w:id="406270720">
      <w:marLeft w:val="0"/>
      <w:marRight w:val="0"/>
      <w:marTop w:val="0"/>
      <w:marBottom w:val="0"/>
      <w:divBdr>
        <w:top w:val="none" w:sz="0" w:space="0" w:color="auto"/>
        <w:left w:val="none" w:sz="0" w:space="0" w:color="auto"/>
        <w:bottom w:val="none" w:sz="0" w:space="0" w:color="auto"/>
        <w:right w:val="none" w:sz="0" w:space="0" w:color="auto"/>
      </w:divBdr>
    </w:div>
    <w:div w:id="406270721">
      <w:marLeft w:val="0"/>
      <w:marRight w:val="0"/>
      <w:marTop w:val="0"/>
      <w:marBottom w:val="0"/>
      <w:divBdr>
        <w:top w:val="none" w:sz="0" w:space="0" w:color="auto"/>
        <w:left w:val="none" w:sz="0" w:space="0" w:color="auto"/>
        <w:bottom w:val="none" w:sz="0" w:space="0" w:color="auto"/>
        <w:right w:val="none" w:sz="0" w:space="0" w:color="auto"/>
      </w:divBdr>
    </w:div>
    <w:div w:id="406270722">
      <w:marLeft w:val="0"/>
      <w:marRight w:val="0"/>
      <w:marTop w:val="0"/>
      <w:marBottom w:val="0"/>
      <w:divBdr>
        <w:top w:val="none" w:sz="0" w:space="0" w:color="auto"/>
        <w:left w:val="none" w:sz="0" w:space="0" w:color="auto"/>
        <w:bottom w:val="none" w:sz="0" w:space="0" w:color="auto"/>
        <w:right w:val="none" w:sz="0" w:space="0" w:color="auto"/>
      </w:divBdr>
    </w:div>
    <w:div w:id="406270723">
      <w:marLeft w:val="0"/>
      <w:marRight w:val="0"/>
      <w:marTop w:val="0"/>
      <w:marBottom w:val="0"/>
      <w:divBdr>
        <w:top w:val="none" w:sz="0" w:space="0" w:color="auto"/>
        <w:left w:val="none" w:sz="0" w:space="0" w:color="auto"/>
        <w:bottom w:val="none" w:sz="0" w:space="0" w:color="auto"/>
        <w:right w:val="none" w:sz="0" w:space="0" w:color="auto"/>
      </w:divBdr>
    </w:div>
    <w:div w:id="406270724">
      <w:marLeft w:val="0"/>
      <w:marRight w:val="0"/>
      <w:marTop w:val="0"/>
      <w:marBottom w:val="0"/>
      <w:divBdr>
        <w:top w:val="none" w:sz="0" w:space="0" w:color="auto"/>
        <w:left w:val="none" w:sz="0" w:space="0" w:color="auto"/>
        <w:bottom w:val="none" w:sz="0" w:space="0" w:color="auto"/>
        <w:right w:val="none" w:sz="0" w:space="0" w:color="auto"/>
      </w:divBdr>
    </w:div>
    <w:div w:id="406270725">
      <w:marLeft w:val="0"/>
      <w:marRight w:val="0"/>
      <w:marTop w:val="0"/>
      <w:marBottom w:val="0"/>
      <w:divBdr>
        <w:top w:val="none" w:sz="0" w:space="0" w:color="auto"/>
        <w:left w:val="none" w:sz="0" w:space="0" w:color="auto"/>
        <w:bottom w:val="none" w:sz="0" w:space="0" w:color="auto"/>
        <w:right w:val="none" w:sz="0" w:space="0" w:color="auto"/>
      </w:divBdr>
    </w:div>
    <w:div w:id="406270726">
      <w:marLeft w:val="0"/>
      <w:marRight w:val="0"/>
      <w:marTop w:val="0"/>
      <w:marBottom w:val="0"/>
      <w:divBdr>
        <w:top w:val="none" w:sz="0" w:space="0" w:color="auto"/>
        <w:left w:val="none" w:sz="0" w:space="0" w:color="auto"/>
        <w:bottom w:val="none" w:sz="0" w:space="0" w:color="auto"/>
        <w:right w:val="none" w:sz="0" w:space="0" w:color="auto"/>
      </w:divBdr>
    </w:div>
    <w:div w:id="406270727">
      <w:marLeft w:val="0"/>
      <w:marRight w:val="0"/>
      <w:marTop w:val="0"/>
      <w:marBottom w:val="0"/>
      <w:divBdr>
        <w:top w:val="none" w:sz="0" w:space="0" w:color="auto"/>
        <w:left w:val="none" w:sz="0" w:space="0" w:color="auto"/>
        <w:bottom w:val="none" w:sz="0" w:space="0" w:color="auto"/>
        <w:right w:val="none" w:sz="0" w:space="0" w:color="auto"/>
      </w:divBdr>
    </w:div>
    <w:div w:id="406270728">
      <w:marLeft w:val="0"/>
      <w:marRight w:val="0"/>
      <w:marTop w:val="0"/>
      <w:marBottom w:val="0"/>
      <w:divBdr>
        <w:top w:val="none" w:sz="0" w:space="0" w:color="auto"/>
        <w:left w:val="none" w:sz="0" w:space="0" w:color="auto"/>
        <w:bottom w:val="none" w:sz="0" w:space="0" w:color="auto"/>
        <w:right w:val="none" w:sz="0" w:space="0" w:color="auto"/>
      </w:divBdr>
    </w:div>
    <w:div w:id="406270729">
      <w:marLeft w:val="0"/>
      <w:marRight w:val="0"/>
      <w:marTop w:val="0"/>
      <w:marBottom w:val="0"/>
      <w:divBdr>
        <w:top w:val="none" w:sz="0" w:space="0" w:color="auto"/>
        <w:left w:val="none" w:sz="0" w:space="0" w:color="auto"/>
        <w:bottom w:val="none" w:sz="0" w:space="0" w:color="auto"/>
        <w:right w:val="none" w:sz="0" w:space="0" w:color="auto"/>
      </w:divBdr>
    </w:div>
    <w:div w:id="406270730">
      <w:marLeft w:val="0"/>
      <w:marRight w:val="0"/>
      <w:marTop w:val="0"/>
      <w:marBottom w:val="0"/>
      <w:divBdr>
        <w:top w:val="none" w:sz="0" w:space="0" w:color="auto"/>
        <w:left w:val="none" w:sz="0" w:space="0" w:color="auto"/>
        <w:bottom w:val="none" w:sz="0" w:space="0" w:color="auto"/>
        <w:right w:val="none" w:sz="0" w:space="0" w:color="auto"/>
      </w:divBdr>
    </w:div>
    <w:div w:id="406270731">
      <w:marLeft w:val="0"/>
      <w:marRight w:val="0"/>
      <w:marTop w:val="0"/>
      <w:marBottom w:val="0"/>
      <w:divBdr>
        <w:top w:val="none" w:sz="0" w:space="0" w:color="auto"/>
        <w:left w:val="none" w:sz="0" w:space="0" w:color="auto"/>
        <w:bottom w:val="none" w:sz="0" w:space="0" w:color="auto"/>
        <w:right w:val="none" w:sz="0" w:space="0" w:color="auto"/>
      </w:divBdr>
    </w:div>
    <w:div w:id="406270732">
      <w:marLeft w:val="0"/>
      <w:marRight w:val="0"/>
      <w:marTop w:val="0"/>
      <w:marBottom w:val="0"/>
      <w:divBdr>
        <w:top w:val="none" w:sz="0" w:space="0" w:color="auto"/>
        <w:left w:val="none" w:sz="0" w:space="0" w:color="auto"/>
        <w:bottom w:val="none" w:sz="0" w:space="0" w:color="auto"/>
        <w:right w:val="none" w:sz="0" w:space="0" w:color="auto"/>
      </w:divBdr>
    </w:div>
    <w:div w:id="406270733">
      <w:marLeft w:val="0"/>
      <w:marRight w:val="0"/>
      <w:marTop w:val="0"/>
      <w:marBottom w:val="0"/>
      <w:divBdr>
        <w:top w:val="none" w:sz="0" w:space="0" w:color="auto"/>
        <w:left w:val="none" w:sz="0" w:space="0" w:color="auto"/>
        <w:bottom w:val="none" w:sz="0" w:space="0" w:color="auto"/>
        <w:right w:val="none" w:sz="0" w:space="0" w:color="auto"/>
      </w:divBdr>
    </w:div>
    <w:div w:id="406270734">
      <w:marLeft w:val="0"/>
      <w:marRight w:val="0"/>
      <w:marTop w:val="0"/>
      <w:marBottom w:val="0"/>
      <w:divBdr>
        <w:top w:val="none" w:sz="0" w:space="0" w:color="auto"/>
        <w:left w:val="none" w:sz="0" w:space="0" w:color="auto"/>
        <w:bottom w:val="none" w:sz="0" w:space="0" w:color="auto"/>
        <w:right w:val="none" w:sz="0" w:space="0" w:color="auto"/>
      </w:divBdr>
    </w:div>
    <w:div w:id="406270735">
      <w:marLeft w:val="0"/>
      <w:marRight w:val="0"/>
      <w:marTop w:val="0"/>
      <w:marBottom w:val="0"/>
      <w:divBdr>
        <w:top w:val="none" w:sz="0" w:space="0" w:color="auto"/>
        <w:left w:val="none" w:sz="0" w:space="0" w:color="auto"/>
        <w:bottom w:val="none" w:sz="0" w:space="0" w:color="auto"/>
        <w:right w:val="none" w:sz="0" w:space="0" w:color="auto"/>
      </w:divBdr>
    </w:div>
    <w:div w:id="406270736">
      <w:marLeft w:val="0"/>
      <w:marRight w:val="0"/>
      <w:marTop w:val="0"/>
      <w:marBottom w:val="0"/>
      <w:divBdr>
        <w:top w:val="none" w:sz="0" w:space="0" w:color="auto"/>
        <w:left w:val="none" w:sz="0" w:space="0" w:color="auto"/>
        <w:bottom w:val="none" w:sz="0" w:space="0" w:color="auto"/>
        <w:right w:val="none" w:sz="0" w:space="0" w:color="auto"/>
      </w:divBdr>
    </w:div>
    <w:div w:id="406270737">
      <w:marLeft w:val="0"/>
      <w:marRight w:val="0"/>
      <w:marTop w:val="0"/>
      <w:marBottom w:val="0"/>
      <w:divBdr>
        <w:top w:val="none" w:sz="0" w:space="0" w:color="auto"/>
        <w:left w:val="none" w:sz="0" w:space="0" w:color="auto"/>
        <w:bottom w:val="none" w:sz="0" w:space="0" w:color="auto"/>
        <w:right w:val="none" w:sz="0" w:space="0" w:color="auto"/>
      </w:divBdr>
    </w:div>
    <w:div w:id="406270738">
      <w:marLeft w:val="0"/>
      <w:marRight w:val="0"/>
      <w:marTop w:val="0"/>
      <w:marBottom w:val="0"/>
      <w:divBdr>
        <w:top w:val="none" w:sz="0" w:space="0" w:color="auto"/>
        <w:left w:val="none" w:sz="0" w:space="0" w:color="auto"/>
        <w:bottom w:val="none" w:sz="0" w:space="0" w:color="auto"/>
        <w:right w:val="none" w:sz="0" w:space="0" w:color="auto"/>
      </w:divBdr>
    </w:div>
    <w:div w:id="406270739">
      <w:marLeft w:val="0"/>
      <w:marRight w:val="0"/>
      <w:marTop w:val="0"/>
      <w:marBottom w:val="0"/>
      <w:divBdr>
        <w:top w:val="none" w:sz="0" w:space="0" w:color="auto"/>
        <w:left w:val="none" w:sz="0" w:space="0" w:color="auto"/>
        <w:bottom w:val="none" w:sz="0" w:space="0" w:color="auto"/>
        <w:right w:val="none" w:sz="0" w:space="0" w:color="auto"/>
      </w:divBdr>
    </w:div>
    <w:div w:id="406270740">
      <w:marLeft w:val="0"/>
      <w:marRight w:val="0"/>
      <w:marTop w:val="0"/>
      <w:marBottom w:val="0"/>
      <w:divBdr>
        <w:top w:val="none" w:sz="0" w:space="0" w:color="auto"/>
        <w:left w:val="none" w:sz="0" w:space="0" w:color="auto"/>
        <w:bottom w:val="none" w:sz="0" w:space="0" w:color="auto"/>
        <w:right w:val="none" w:sz="0" w:space="0" w:color="auto"/>
      </w:divBdr>
    </w:div>
    <w:div w:id="406270741">
      <w:marLeft w:val="0"/>
      <w:marRight w:val="0"/>
      <w:marTop w:val="0"/>
      <w:marBottom w:val="0"/>
      <w:divBdr>
        <w:top w:val="none" w:sz="0" w:space="0" w:color="auto"/>
        <w:left w:val="none" w:sz="0" w:space="0" w:color="auto"/>
        <w:bottom w:val="none" w:sz="0" w:space="0" w:color="auto"/>
        <w:right w:val="none" w:sz="0" w:space="0" w:color="auto"/>
      </w:divBdr>
    </w:div>
    <w:div w:id="406270742">
      <w:marLeft w:val="0"/>
      <w:marRight w:val="0"/>
      <w:marTop w:val="0"/>
      <w:marBottom w:val="0"/>
      <w:divBdr>
        <w:top w:val="none" w:sz="0" w:space="0" w:color="auto"/>
        <w:left w:val="none" w:sz="0" w:space="0" w:color="auto"/>
        <w:bottom w:val="none" w:sz="0" w:space="0" w:color="auto"/>
        <w:right w:val="none" w:sz="0" w:space="0" w:color="auto"/>
      </w:divBdr>
    </w:div>
    <w:div w:id="406270743">
      <w:marLeft w:val="0"/>
      <w:marRight w:val="0"/>
      <w:marTop w:val="0"/>
      <w:marBottom w:val="0"/>
      <w:divBdr>
        <w:top w:val="none" w:sz="0" w:space="0" w:color="auto"/>
        <w:left w:val="none" w:sz="0" w:space="0" w:color="auto"/>
        <w:bottom w:val="none" w:sz="0" w:space="0" w:color="auto"/>
        <w:right w:val="none" w:sz="0" w:space="0" w:color="auto"/>
      </w:divBdr>
    </w:div>
    <w:div w:id="406270744">
      <w:marLeft w:val="0"/>
      <w:marRight w:val="0"/>
      <w:marTop w:val="0"/>
      <w:marBottom w:val="0"/>
      <w:divBdr>
        <w:top w:val="none" w:sz="0" w:space="0" w:color="auto"/>
        <w:left w:val="none" w:sz="0" w:space="0" w:color="auto"/>
        <w:bottom w:val="none" w:sz="0" w:space="0" w:color="auto"/>
        <w:right w:val="none" w:sz="0" w:space="0" w:color="auto"/>
      </w:divBdr>
    </w:div>
    <w:div w:id="406270745">
      <w:marLeft w:val="0"/>
      <w:marRight w:val="0"/>
      <w:marTop w:val="0"/>
      <w:marBottom w:val="0"/>
      <w:divBdr>
        <w:top w:val="none" w:sz="0" w:space="0" w:color="auto"/>
        <w:left w:val="none" w:sz="0" w:space="0" w:color="auto"/>
        <w:bottom w:val="none" w:sz="0" w:space="0" w:color="auto"/>
        <w:right w:val="none" w:sz="0" w:space="0" w:color="auto"/>
      </w:divBdr>
    </w:div>
    <w:div w:id="406270746">
      <w:marLeft w:val="0"/>
      <w:marRight w:val="0"/>
      <w:marTop w:val="0"/>
      <w:marBottom w:val="0"/>
      <w:divBdr>
        <w:top w:val="none" w:sz="0" w:space="0" w:color="auto"/>
        <w:left w:val="none" w:sz="0" w:space="0" w:color="auto"/>
        <w:bottom w:val="none" w:sz="0" w:space="0" w:color="auto"/>
        <w:right w:val="none" w:sz="0" w:space="0" w:color="auto"/>
      </w:divBdr>
    </w:div>
    <w:div w:id="406270747">
      <w:marLeft w:val="0"/>
      <w:marRight w:val="0"/>
      <w:marTop w:val="0"/>
      <w:marBottom w:val="0"/>
      <w:divBdr>
        <w:top w:val="none" w:sz="0" w:space="0" w:color="auto"/>
        <w:left w:val="none" w:sz="0" w:space="0" w:color="auto"/>
        <w:bottom w:val="none" w:sz="0" w:space="0" w:color="auto"/>
        <w:right w:val="none" w:sz="0" w:space="0" w:color="auto"/>
      </w:divBdr>
    </w:div>
    <w:div w:id="406270748">
      <w:marLeft w:val="0"/>
      <w:marRight w:val="0"/>
      <w:marTop w:val="0"/>
      <w:marBottom w:val="0"/>
      <w:divBdr>
        <w:top w:val="none" w:sz="0" w:space="0" w:color="auto"/>
        <w:left w:val="none" w:sz="0" w:space="0" w:color="auto"/>
        <w:bottom w:val="none" w:sz="0" w:space="0" w:color="auto"/>
        <w:right w:val="none" w:sz="0" w:space="0" w:color="auto"/>
      </w:divBdr>
    </w:div>
    <w:div w:id="406270749">
      <w:marLeft w:val="0"/>
      <w:marRight w:val="0"/>
      <w:marTop w:val="0"/>
      <w:marBottom w:val="0"/>
      <w:divBdr>
        <w:top w:val="none" w:sz="0" w:space="0" w:color="auto"/>
        <w:left w:val="none" w:sz="0" w:space="0" w:color="auto"/>
        <w:bottom w:val="none" w:sz="0" w:space="0" w:color="auto"/>
        <w:right w:val="none" w:sz="0" w:space="0" w:color="auto"/>
      </w:divBdr>
    </w:div>
    <w:div w:id="406270750">
      <w:marLeft w:val="0"/>
      <w:marRight w:val="0"/>
      <w:marTop w:val="0"/>
      <w:marBottom w:val="0"/>
      <w:divBdr>
        <w:top w:val="none" w:sz="0" w:space="0" w:color="auto"/>
        <w:left w:val="none" w:sz="0" w:space="0" w:color="auto"/>
        <w:bottom w:val="none" w:sz="0" w:space="0" w:color="auto"/>
        <w:right w:val="none" w:sz="0" w:space="0" w:color="auto"/>
      </w:divBdr>
    </w:div>
    <w:div w:id="406270751">
      <w:marLeft w:val="0"/>
      <w:marRight w:val="0"/>
      <w:marTop w:val="0"/>
      <w:marBottom w:val="0"/>
      <w:divBdr>
        <w:top w:val="none" w:sz="0" w:space="0" w:color="auto"/>
        <w:left w:val="none" w:sz="0" w:space="0" w:color="auto"/>
        <w:bottom w:val="none" w:sz="0" w:space="0" w:color="auto"/>
        <w:right w:val="none" w:sz="0" w:space="0" w:color="auto"/>
      </w:divBdr>
    </w:div>
    <w:div w:id="406270752">
      <w:marLeft w:val="0"/>
      <w:marRight w:val="0"/>
      <w:marTop w:val="0"/>
      <w:marBottom w:val="0"/>
      <w:divBdr>
        <w:top w:val="none" w:sz="0" w:space="0" w:color="auto"/>
        <w:left w:val="none" w:sz="0" w:space="0" w:color="auto"/>
        <w:bottom w:val="none" w:sz="0" w:space="0" w:color="auto"/>
        <w:right w:val="none" w:sz="0" w:space="0" w:color="auto"/>
      </w:divBdr>
    </w:div>
    <w:div w:id="406270753">
      <w:marLeft w:val="0"/>
      <w:marRight w:val="0"/>
      <w:marTop w:val="0"/>
      <w:marBottom w:val="0"/>
      <w:divBdr>
        <w:top w:val="none" w:sz="0" w:space="0" w:color="auto"/>
        <w:left w:val="none" w:sz="0" w:space="0" w:color="auto"/>
        <w:bottom w:val="none" w:sz="0" w:space="0" w:color="auto"/>
        <w:right w:val="none" w:sz="0" w:space="0" w:color="auto"/>
      </w:divBdr>
    </w:div>
    <w:div w:id="406270754">
      <w:marLeft w:val="0"/>
      <w:marRight w:val="0"/>
      <w:marTop w:val="0"/>
      <w:marBottom w:val="0"/>
      <w:divBdr>
        <w:top w:val="none" w:sz="0" w:space="0" w:color="auto"/>
        <w:left w:val="none" w:sz="0" w:space="0" w:color="auto"/>
        <w:bottom w:val="none" w:sz="0" w:space="0" w:color="auto"/>
        <w:right w:val="none" w:sz="0" w:space="0" w:color="auto"/>
      </w:divBdr>
    </w:div>
    <w:div w:id="406270755">
      <w:marLeft w:val="0"/>
      <w:marRight w:val="0"/>
      <w:marTop w:val="0"/>
      <w:marBottom w:val="0"/>
      <w:divBdr>
        <w:top w:val="none" w:sz="0" w:space="0" w:color="auto"/>
        <w:left w:val="none" w:sz="0" w:space="0" w:color="auto"/>
        <w:bottom w:val="none" w:sz="0" w:space="0" w:color="auto"/>
        <w:right w:val="none" w:sz="0" w:space="0" w:color="auto"/>
      </w:divBdr>
    </w:div>
    <w:div w:id="406270756">
      <w:marLeft w:val="0"/>
      <w:marRight w:val="0"/>
      <w:marTop w:val="0"/>
      <w:marBottom w:val="0"/>
      <w:divBdr>
        <w:top w:val="none" w:sz="0" w:space="0" w:color="auto"/>
        <w:left w:val="none" w:sz="0" w:space="0" w:color="auto"/>
        <w:bottom w:val="none" w:sz="0" w:space="0" w:color="auto"/>
        <w:right w:val="none" w:sz="0" w:space="0" w:color="auto"/>
      </w:divBdr>
    </w:div>
    <w:div w:id="406270757">
      <w:marLeft w:val="0"/>
      <w:marRight w:val="0"/>
      <w:marTop w:val="0"/>
      <w:marBottom w:val="0"/>
      <w:divBdr>
        <w:top w:val="none" w:sz="0" w:space="0" w:color="auto"/>
        <w:left w:val="none" w:sz="0" w:space="0" w:color="auto"/>
        <w:bottom w:val="none" w:sz="0" w:space="0" w:color="auto"/>
        <w:right w:val="none" w:sz="0" w:space="0" w:color="auto"/>
      </w:divBdr>
    </w:div>
    <w:div w:id="406270758">
      <w:marLeft w:val="0"/>
      <w:marRight w:val="0"/>
      <w:marTop w:val="0"/>
      <w:marBottom w:val="0"/>
      <w:divBdr>
        <w:top w:val="none" w:sz="0" w:space="0" w:color="auto"/>
        <w:left w:val="none" w:sz="0" w:space="0" w:color="auto"/>
        <w:bottom w:val="none" w:sz="0" w:space="0" w:color="auto"/>
        <w:right w:val="none" w:sz="0" w:space="0" w:color="auto"/>
      </w:divBdr>
    </w:div>
    <w:div w:id="406270759">
      <w:marLeft w:val="0"/>
      <w:marRight w:val="0"/>
      <w:marTop w:val="0"/>
      <w:marBottom w:val="0"/>
      <w:divBdr>
        <w:top w:val="none" w:sz="0" w:space="0" w:color="auto"/>
        <w:left w:val="none" w:sz="0" w:space="0" w:color="auto"/>
        <w:bottom w:val="none" w:sz="0" w:space="0" w:color="auto"/>
        <w:right w:val="none" w:sz="0" w:space="0" w:color="auto"/>
      </w:divBdr>
    </w:div>
    <w:div w:id="406270760">
      <w:marLeft w:val="0"/>
      <w:marRight w:val="0"/>
      <w:marTop w:val="0"/>
      <w:marBottom w:val="0"/>
      <w:divBdr>
        <w:top w:val="none" w:sz="0" w:space="0" w:color="auto"/>
        <w:left w:val="none" w:sz="0" w:space="0" w:color="auto"/>
        <w:bottom w:val="none" w:sz="0" w:space="0" w:color="auto"/>
        <w:right w:val="none" w:sz="0" w:space="0" w:color="auto"/>
      </w:divBdr>
    </w:div>
    <w:div w:id="406270761">
      <w:marLeft w:val="0"/>
      <w:marRight w:val="0"/>
      <w:marTop w:val="0"/>
      <w:marBottom w:val="0"/>
      <w:divBdr>
        <w:top w:val="none" w:sz="0" w:space="0" w:color="auto"/>
        <w:left w:val="none" w:sz="0" w:space="0" w:color="auto"/>
        <w:bottom w:val="none" w:sz="0" w:space="0" w:color="auto"/>
        <w:right w:val="none" w:sz="0" w:space="0" w:color="auto"/>
      </w:divBdr>
    </w:div>
    <w:div w:id="406270762">
      <w:marLeft w:val="0"/>
      <w:marRight w:val="0"/>
      <w:marTop w:val="0"/>
      <w:marBottom w:val="0"/>
      <w:divBdr>
        <w:top w:val="none" w:sz="0" w:space="0" w:color="auto"/>
        <w:left w:val="none" w:sz="0" w:space="0" w:color="auto"/>
        <w:bottom w:val="none" w:sz="0" w:space="0" w:color="auto"/>
        <w:right w:val="none" w:sz="0" w:space="0" w:color="auto"/>
      </w:divBdr>
    </w:div>
    <w:div w:id="406270763">
      <w:marLeft w:val="0"/>
      <w:marRight w:val="0"/>
      <w:marTop w:val="0"/>
      <w:marBottom w:val="0"/>
      <w:divBdr>
        <w:top w:val="none" w:sz="0" w:space="0" w:color="auto"/>
        <w:left w:val="none" w:sz="0" w:space="0" w:color="auto"/>
        <w:bottom w:val="none" w:sz="0" w:space="0" w:color="auto"/>
        <w:right w:val="none" w:sz="0" w:space="0" w:color="auto"/>
      </w:divBdr>
    </w:div>
    <w:div w:id="406270764">
      <w:marLeft w:val="0"/>
      <w:marRight w:val="0"/>
      <w:marTop w:val="0"/>
      <w:marBottom w:val="0"/>
      <w:divBdr>
        <w:top w:val="none" w:sz="0" w:space="0" w:color="auto"/>
        <w:left w:val="none" w:sz="0" w:space="0" w:color="auto"/>
        <w:bottom w:val="none" w:sz="0" w:space="0" w:color="auto"/>
        <w:right w:val="none" w:sz="0" w:space="0" w:color="auto"/>
      </w:divBdr>
    </w:div>
    <w:div w:id="406270765">
      <w:marLeft w:val="0"/>
      <w:marRight w:val="0"/>
      <w:marTop w:val="0"/>
      <w:marBottom w:val="0"/>
      <w:divBdr>
        <w:top w:val="none" w:sz="0" w:space="0" w:color="auto"/>
        <w:left w:val="none" w:sz="0" w:space="0" w:color="auto"/>
        <w:bottom w:val="none" w:sz="0" w:space="0" w:color="auto"/>
        <w:right w:val="none" w:sz="0" w:space="0" w:color="auto"/>
      </w:divBdr>
    </w:div>
    <w:div w:id="406270766">
      <w:marLeft w:val="0"/>
      <w:marRight w:val="0"/>
      <w:marTop w:val="0"/>
      <w:marBottom w:val="0"/>
      <w:divBdr>
        <w:top w:val="none" w:sz="0" w:space="0" w:color="auto"/>
        <w:left w:val="none" w:sz="0" w:space="0" w:color="auto"/>
        <w:bottom w:val="none" w:sz="0" w:space="0" w:color="auto"/>
        <w:right w:val="none" w:sz="0" w:space="0" w:color="auto"/>
      </w:divBdr>
    </w:div>
    <w:div w:id="406270767">
      <w:marLeft w:val="0"/>
      <w:marRight w:val="0"/>
      <w:marTop w:val="0"/>
      <w:marBottom w:val="0"/>
      <w:divBdr>
        <w:top w:val="none" w:sz="0" w:space="0" w:color="auto"/>
        <w:left w:val="none" w:sz="0" w:space="0" w:color="auto"/>
        <w:bottom w:val="none" w:sz="0" w:space="0" w:color="auto"/>
        <w:right w:val="none" w:sz="0" w:space="0" w:color="auto"/>
      </w:divBdr>
    </w:div>
    <w:div w:id="406270768">
      <w:marLeft w:val="0"/>
      <w:marRight w:val="0"/>
      <w:marTop w:val="0"/>
      <w:marBottom w:val="0"/>
      <w:divBdr>
        <w:top w:val="none" w:sz="0" w:space="0" w:color="auto"/>
        <w:left w:val="none" w:sz="0" w:space="0" w:color="auto"/>
        <w:bottom w:val="none" w:sz="0" w:space="0" w:color="auto"/>
        <w:right w:val="none" w:sz="0" w:space="0" w:color="auto"/>
      </w:divBdr>
    </w:div>
    <w:div w:id="406270769">
      <w:marLeft w:val="0"/>
      <w:marRight w:val="0"/>
      <w:marTop w:val="0"/>
      <w:marBottom w:val="0"/>
      <w:divBdr>
        <w:top w:val="none" w:sz="0" w:space="0" w:color="auto"/>
        <w:left w:val="none" w:sz="0" w:space="0" w:color="auto"/>
        <w:bottom w:val="none" w:sz="0" w:space="0" w:color="auto"/>
        <w:right w:val="none" w:sz="0" w:space="0" w:color="auto"/>
      </w:divBdr>
    </w:div>
    <w:div w:id="406270770">
      <w:marLeft w:val="0"/>
      <w:marRight w:val="0"/>
      <w:marTop w:val="0"/>
      <w:marBottom w:val="0"/>
      <w:divBdr>
        <w:top w:val="none" w:sz="0" w:space="0" w:color="auto"/>
        <w:left w:val="none" w:sz="0" w:space="0" w:color="auto"/>
        <w:bottom w:val="none" w:sz="0" w:space="0" w:color="auto"/>
        <w:right w:val="none" w:sz="0" w:space="0" w:color="auto"/>
      </w:divBdr>
    </w:div>
    <w:div w:id="406270771">
      <w:marLeft w:val="0"/>
      <w:marRight w:val="0"/>
      <w:marTop w:val="0"/>
      <w:marBottom w:val="0"/>
      <w:divBdr>
        <w:top w:val="none" w:sz="0" w:space="0" w:color="auto"/>
        <w:left w:val="none" w:sz="0" w:space="0" w:color="auto"/>
        <w:bottom w:val="none" w:sz="0" w:space="0" w:color="auto"/>
        <w:right w:val="none" w:sz="0" w:space="0" w:color="auto"/>
      </w:divBdr>
    </w:div>
    <w:div w:id="406270772">
      <w:marLeft w:val="0"/>
      <w:marRight w:val="0"/>
      <w:marTop w:val="0"/>
      <w:marBottom w:val="0"/>
      <w:divBdr>
        <w:top w:val="none" w:sz="0" w:space="0" w:color="auto"/>
        <w:left w:val="none" w:sz="0" w:space="0" w:color="auto"/>
        <w:bottom w:val="none" w:sz="0" w:space="0" w:color="auto"/>
        <w:right w:val="none" w:sz="0" w:space="0" w:color="auto"/>
      </w:divBdr>
    </w:div>
    <w:div w:id="406270773">
      <w:marLeft w:val="0"/>
      <w:marRight w:val="0"/>
      <w:marTop w:val="0"/>
      <w:marBottom w:val="0"/>
      <w:divBdr>
        <w:top w:val="none" w:sz="0" w:space="0" w:color="auto"/>
        <w:left w:val="none" w:sz="0" w:space="0" w:color="auto"/>
        <w:bottom w:val="none" w:sz="0" w:space="0" w:color="auto"/>
        <w:right w:val="none" w:sz="0" w:space="0" w:color="auto"/>
      </w:divBdr>
    </w:div>
    <w:div w:id="406270774">
      <w:marLeft w:val="0"/>
      <w:marRight w:val="0"/>
      <w:marTop w:val="0"/>
      <w:marBottom w:val="0"/>
      <w:divBdr>
        <w:top w:val="none" w:sz="0" w:space="0" w:color="auto"/>
        <w:left w:val="none" w:sz="0" w:space="0" w:color="auto"/>
        <w:bottom w:val="none" w:sz="0" w:space="0" w:color="auto"/>
        <w:right w:val="none" w:sz="0" w:space="0" w:color="auto"/>
      </w:divBdr>
    </w:div>
    <w:div w:id="406270775">
      <w:marLeft w:val="0"/>
      <w:marRight w:val="0"/>
      <w:marTop w:val="0"/>
      <w:marBottom w:val="0"/>
      <w:divBdr>
        <w:top w:val="none" w:sz="0" w:space="0" w:color="auto"/>
        <w:left w:val="none" w:sz="0" w:space="0" w:color="auto"/>
        <w:bottom w:val="none" w:sz="0" w:space="0" w:color="auto"/>
        <w:right w:val="none" w:sz="0" w:space="0" w:color="auto"/>
      </w:divBdr>
    </w:div>
    <w:div w:id="406270776">
      <w:marLeft w:val="0"/>
      <w:marRight w:val="0"/>
      <w:marTop w:val="0"/>
      <w:marBottom w:val="0"/>
      <w:divBdr>
        <w:top w:val="none" w:sz="0" w:space="0" w:color="auto"/>
        <w:left w:val="none" w:sz="0" w:space="0" w:color="auto"/>
        <w:bottom w:val="none" w:sz="0" w:space="0" w:color="auto"/>
        <w:right w:val="none" w:sz="0" w:space="0" w:color="auto"/>
      </w:divBdr>
    </w:div>
    <w:div w:id="406270777">
      <w:marLeft w:val="0"/>
      <w:marRight w:val="0"/>
      <w:marTop w:val="0"/>
      <w:marBottom w:val="0"/>
      <w:divBdr>
        <w:top w:val="none" w:sz="0" w:space="0" w:color="auto"/>
        <w:left w:val="none" w:sz="0" w:space="0" w:color="auto"/>
        <w:bottom w:val="none" w:sz="0" w:space="0" w:color="auto"/>
        <w:right w:val="none" w:sz="0" w:space="0" w:color="auto"/>
      </w:divBdr>
    </w:div>
    <w:div w:id="406270778">
      <w:marLeft w:val="0"/>
      <w:marRight w:val="0"/>
      <w:marTop w:val="0"/>
      <w:marBottom w:val="0"/>
      <w:divBdr>
        <w:top w:val="none" w:sz="0" w:space="0" w:color="auto"/>
        <w:left w:val="none" w:sz="0" w:space="0" w:color="auto"/>
        <w:bottom w:val="none" w:sz="0" w:space="0" w:color="auto"/>
        <w:right w:val="none" w:sz="0" w:space="0" w:color="auto"/>
      </w:divBdr>
    </w:div>
    <w:div w:id="406270779">
      <w:marLeft w:val="0"/>
      <w:marRight w:val="0"/>
      <w:marTop w:val="0"/>
      <w:marBottom w:val="0"/>
      <w:divBdr>
        <w:top w:val="none" w:sz="0" w:space="0" w:color="auto"/>
        <w:left w:val="none" w:sz="0" w:space="0" w:color="auto"/>
        <w:bottom w:val="none" w:sz="0" w:space="0" w:color="auto"/>
        <w:right w:val="none" w:sz="0" w:space="0" w:color="auto"/>
      </w:divBdr>
    </w:div>
    <w:div w:id="406270780">
      <w:marLeft w:val="0"/>
      <w:marRight w:val="0"/>
      <w:marTop w:val="0"/>
      <w:marBottom w:val="0"/>
      <w:divBdr>
        <w:top w:val="none" w:sz="0" w:space="0" w:color="auto"/>
        <w:left w:val="none" w:sz="0" w:space="0" w:color="auto"/>
        <w:bottom w:val="none" w:sz="0" w:space="0" w:color="auto"/>
        <w:right w:val="none" w:sz="0" w:space="0" w:color="auto"/>
      </w:divBdr>
    </w:div>
    <w:div w:id="406270781">
      <w:marLeft w:val="0"/>
      <w:marRight w:val="0"/>
      <w:marTop w:val="0"/>
      <w:marBottom w:val="0"/>
      <w:divBdr>
        <w:top w:val="none" w:sz="0" w:space="0" w:color="auto"/>
        <w:left w:val="none" w:sz="0" w:space="0" w:color="auto"/>
        <w:bottom w:val="none" w:sz="0" w:space="0" w:color="auto"/>
        <w:right w:val="none" w:sz="0" w:space="0" w:color="auto"/>
      </w:divBdr>
    </w:div>
    <w:div w:id="406270782">
      <w:marLeft w:val="0"/>
      <w:marRight w:val="0"/>
      <w:marTop w:val="0"/>
      <w:marBottom w:val="0"/>
      <w:divBdr>
        <w:top w:val="none" w:sz="0" w:space="0" w:color="auto"/>
        <w:left w:val="none" w:sz="0" w:space="0" w:color="auto"/>
        <w:bottom w:val="none" w:sz="0" w:space="0" w:color="auto"/>
        <w:right w:val="none" w:sz="0" w:space="0" w:color="auto"/>
      </w:divBdr>
    </w:div>
    <w:div w:id="406270783">
      <w:marLeft w:val="0"/>
      <w:marRight w:val="0"/>
      <w:marTop w:val="0"/>
      <w:marBottom w:val="0"/>
      <w:divBdr>
        <w:top w:val="none" w:sz="0" w:space="0" w:color="auto"/>
        <w:left w:val="none" w:sz="0" w:space="0" w:color="auto"/>
        <w:bottom w:val="none" w:sz="0" w:space="0" w:color="auto"/>
        <w:right w:val="none" w:sz="0" w:space="0" w:color="auto"/>
      </w:divBdr>
    </w:div>
    <w:div w:id="406270784">
      <w:marLeft w:val="0"/>
      <w:marRight w:val="0"/>
      <w:marTop w:val="0"/>
      <w:marBottom w:val="0"/>
      <w:divBdr>
        <w:top w:val="none" w:sz="0" w:space="0" w:color="auto"/>
        <w:left w:val="none" w:sz="0" w:space="0" w:color="auto"/>
        <w:bottom w:val="none" w:sz="0" w:space="0" w:color="auto"/>
        <w:right w:val="none" w:sz="0" w:space="0" w:color="auto"/>
      </w:divBdr>
    </w:div>
    <w:div w:id="406270785">
      <w:marLeft w:val="0"/>
      <w:marRight w:val="0"/>
      <w:marTop w:val="0"/>
      <w:marBottom w:val="0"/>
      <w:divBdr>
        <w:top w:val="none" w:sz="0" w:space="0" w:color="auto"/>
        <w:left w:val="none" w:sz="0" w:space="0" w:color="auto"/>
        <w:bottom w:val="none" w:sz="0" w:space="0" w:color="auto"/>
        <w:right w:val="none" w:sz="0" w:space="0" w:color="auto"/>
      </w:divBdr>
    </w:div>
    <w:div w:id="406270786">
      <w:marLeft w:val="0"/>
      <w:marRight w:val="0"/>
      <w:marTop w:val="0"/>
      <w:marBottom w:val="0"/>
      <w:divBdr>
        <w:top w:val="none" w:sz="0" w:space="0" w:color="auto"/>
        <w:left w:val="none" w:sz="0" w:space="0" w:color="auto"/>
        <w:bottom w:val="none" w:sz="0" w:space="0" w:color="auto"/>
        <w:right w:val="none" w:sz="0" w:space="0" w:color="auto"/>
      </w:divBdr>
    </w:div>
    <w:div w:id="406270787">
      <w:marLeft w:val="0"/>
      <w:marRight w:val="0"/>
      <w:marTop w:val="0"/>
      <w:marBottom w:val="0"/>
      <w:divBdr>
        <w:top w:val="none" w:sz="0" w:space="0" w:color="auto"/>
        <w:left w:val="none" w:sz="0" w:space="0" w:color="auto"/>
        <w:bottom w:val="none" w:sz="0" w:space="0" w:color="auto"/>
        <w:right w:val="none" w:sz="0" w:space="0" w:color="auto"/>
      </w:divBdr>
    </w:div>
    <w:div w:id="406270788">
      <w:marLeft w:val="0"/>
      <w:marRight w:val="0"/>
      <w:marTop w:val="0"/>
      <w:marBottom w:val="0"/>
      <w:divBdr>
        <w:top w:val="none" w:sz="0" w:space="0" w:color="auto"/>
        <w:left w:val="none" w:sz="0" w:space="0" w:color="auto"/>
        <w:bottom w:val="none" w:sz="0" w:space="0" w:color="auto"/>
        <w:right w:val="none" w:sz="0" w:space="0" w:color="auto"/>
      </w:divBdr>
    </w:div>
    <w:div w:id="406270789">
      <w:marLeft w:val="0"/>
      <w:marRight w:val="0"/>
      <w:marTop w:val="0"/>
      <w:marBottom w:val="0"/>
      <w:divBdr>
        <w:top w:val="none" w:sz="0" w:space="0" w:color="auto"/>
        <w:left w:val="none" w:sz="0" w:space="0" w:color="auto"/>
        <w:bottom w:val="none" w:sz="0" w:space="0" w:color="auto"/>
        <w:right w:val="none" w:sz="0" w:space="0" w:color="auto"/>
      </w:divBdr>
    </w:div>
    <w:div w:id="406270790">
      <w:marLeft w:val="0"/>
      <w:marRight w:val="0"/>
      <w:marTop w:val="0"/>
      <w:marBottom w:val="0"/>
      <w:divBdr>
        <w:top w:val="none" w:sz="0" w:space="0" w:color="auto"/>
        <w:left w:val="none" w:sz="0" w:space="0" w:color="auto"/>
        <w:bottom w:val="none" w:sz="0" w:space="0" w:color="auto"/>
        <w:right w:val="none" w:sz="0" w:space="0" w:color="auto"/>
      </w:divBdr>
    </w:div>
    <w:div w:id="406270791">
      <w:marLeft w:val="0"/>
      <w:marRight w:val="0"/>
      <w:marTop w:val="0"/>
      <w:marBottom w:val="0"/>
      <w:divBdr>
        <w:top w:val="none" w:sz="0" w:space="0" w:color="auto"/>
        <w:left w:val="none" w:sz="0" w:space="0" w:color="auto"/>
        <w:bottom w:val="none" w:sz="0" w:space="0" w:color="auto"/>
        <w:right w:val="none" w:sz="0" w:space="0" w:color="auto"/>
      </w:divBdr>
    </w:div>
    <w:div w:id="406270792">
      <w:marLeft w:val="0"/>
      <w:marRight w:val="0"/>
      <w:marTop w:val="0"/>
      <w:marBottom w:val="0"/>
      <w:divBdr>
        <w:top w:val="none" w:sz="0" w:space="0" w:color="auto"/>
        <w:left w:val="none" w:sz="0" w:space="0" w:color="auto"/>
        <w:bottom w:val="none" w:sz="0" w:space="0" w:color="auto"/>
        <w:right w:val="none" w:sz="0" w:space="0" w:color="auto"/>
      </w:divBdr>
    </w:div>
    <w:div w:id="406270793">
      <w:marLeft w:val="0"/>
      <w:marRight w:val="0"/>
      <w:marTop w:val="0"/>
      <w:marBottom w:val="0"/>
      <w:divBdr>
        <w:top w:val="none" w:sz="0" w:space="0" w:color="auto"/>
        <w:left w:val="none" w:sz="0" w:space="0" w:color="auto"/>
        <w:bottom w:val="none" w:sz="0" w:space="0" w:color="auto"/>
        <w:right w:val="none" w:sz="0" w:space="0" w:color="auto"/>
      </w:divBdr>
    </w:div>
    <w:div w:id="406270794">
      <w:marLeft w:val="0"/>
      <w:marRight w:val="0"/>
      <w:marTop w:val="0"/>
      <w:marBottom w:val="0"/>
      <w:divBdr>
        <w:top w:val="none" w:sz="0" w:space="0" w:color="auto"/>
        <w:left w:val="none" w:sz="0" w:space="0" w:color="auto"/>
        <w:bottom w:val="none" w:sz="0" w:space="0" w:color="auto"/>
        <w:right w:val="none" w:sz="0" w:space="0" w:color="auto"/>
      </w:divBdr>
    </w:div>
    <w:div w:id="406270795">
      <w:marLeft w:val="0"/>
      <w:marRight w:val="0"/>
      <w:marTop w:val="0"/>
      <w:marBottom w:val="0"/>
      <w:divBdr>
        <w:top w:val="none" w:sz="0" w:space="0" w:color="auto"/>
        <w:left w:val="none" w:sz="0" w:space="0" w:color="auto"/>
        <w:bottom w:val="none" w:sz="0" w:space="0" w:color="auto"/>
        <w:right w:val="none" w:sz="0" w:space="0" w:color="auto"/>
      </w:divBdr>
    </w:div>
    <w:div w:id="406270796">
      <w:marLeft w:val="0"/>
      <w:marRight w:val="0"/>
      <w:marTop w:val="0"/>
      <w:marBottom w:val="0"/>
      <w:divBdr>
        <w:top w:val="none" w:sz="0" w:space="0" w:color="auto"/>
        <w:left w:val="none" w:sz="0" w:space="0" w:color="auto"/>
        <w:bottom w:val="none" w:sz="0" w:space="0" w:color="auto"/>
        <w:right w:val="none" w:sz="0" w:space="0" w:color="auto"/>
      </w:divBdr>
    </w:div>
    <w:div w:id="406270797">
      <w:marLeft w:val="0"/>
      <w:marRight w:val="0"/>
      <w:marTop w:val="0"/>
      <w:marBottom w:val="0"/>
      <w:divBdr>
        <w:top w:val="none" w:sz="0" w:space="0" w:color="auto"/>
        <w:left w:val="none" w:sz="0" w:space="0" w:color="auto"/>
        <w:bottom w:val="none" w:sz="0" w:space="0" w:color="auto"/>
        <w:right w:val="none" w:sz="0" w:space="0" w:color="auto"/>
      </w:divBdr>
    </w:div>
    <w:div w:id="406270798">
      <w:marLeft w:val="0"/>
      <w:marRight w:val="0"/>
      <w:marTop w:val="0"/>
      <w:marBottom w:val="0"/>
      <w:divBdr>
        <w:top w:val="none" w:sz="0" w:space="0" w:color="auto"/>
        <w:left w:val="none" w:sz="0" w:space="0" w:color="auto"/>
        <w:bottom w:val="none" w:sz="0" w:space="0" w:color="auto"/>
        <w:right w:val="none" w:sz="0" w:space="0" w:color="auto"/>
      </w:divBdr>
    </w:div>
    <w:div w:id="406270799">
      <w:marLeft w:val="0"/>
      <w:marRight w:val="0"/>
      <w:marTop w:val="0"/>
      <w:marBottom w:val="0"/>
      <w:divBdr>
        <w:top w:val="none" w:sz="0" w:space="0" w:color="auto"/>
        <w:left w:val="none" w:sz="0" w:space="0" w:color="auto"/>
        <w:bottom w:val="none" w:sz="0" w:space="0" w:color="auto"/>
        <w:right w:val="none" w:sz="0" w:space="0" w:color="auto"/>
      </w:divBdr>
    </w:div>
    <w:div w:id="406270800">
      <w:marLeft w:val="0"/>
      <w:marRight w:val="0"/>
      <w:marTop w:val="0"/>
      <w:marBottom w:val="0"/>
      <w:divBdr>
        <w:top w:val="none" w:sz="0" w:space="0" w:color="auto"/>
        <w:left w:val="none" w:sz="0" w:space="0" w:color="auto"/>
        <w:bottom w:val="none" w:sz="0" w:space="0" w:color="auto"/>
        <w:right w:val="none" w:sz="0" w:space="0" w:color="auto"/>
      </w:divBdr>
    </w:div>
    <w:div w:id="406270801">
      <w:marLeft w:val="0"/>
      <w:marRight w:val="0"/>
      <w:marTop w:val="0"/>
      <w:marBottom w:val="0"/>
      <w:divBdr>
        <w:top w:val="none" w:sz="0" w:space="0" w:color="auto"/>
        <w:left w:val="none" w:sz="0" w:space="0" w:color="auto"/>
        <w:bottom w:val="none" w:sz="0" w:space="0" w:color="auto"/>
        <w:right w:val="none" w:sz="0" w:space="0" w:color="auto"/>
      </w:divBdr>
    </w:div>
    <w:div w:id="406270802">
      <w:marLeft w:val="0"/>
      <w:marRight w:val="0"/>
      <w:marTop w:val="0"/>
      <w:marBottom w:val="0"/>
      <w:divBdr>
        <w:top w:val="none" w:sz="0" w:space="0" w:color="auto"/>
        <w:left w:val="none" w:sz="0" w:space="0" w:color="auto"/>
        <w:bottom w:val="none" w:sz="0" w:space="0" w:color="auto"/>
        <w:right w:val="none" w:sz="0" w:space="0" w:color="auto"/>
      </w:divBdr>
    </w:div>
    <w:div w:id="406270803">
      <w:marLeft w:val="0"/>
      <w:marRight w:val="0"/>
      <w:marTop w:val="0"/>
      <w:marBottom w:val="0"/>
      <w:divBdr>
        <w:top w:val="none" w:sz="0" w:space="0" w:color="auto"/>
        <w:left w:val="none" w:sz="0" w:space="0" w:color="auto"/>
        <w:bottom w:val="none" w:sz="0" w:space="0" w:color="auto"/>
        <w:right w:val="none" w:sz="0" w:space="0" w:color="auto"/>
      </w:divBdr>
    </w:div>
    <w:div w:id="406270804">
      <w:marLeft w:val="0"/>
      <w:marRight w:val="0"/>
      <w:marTop w:val="0"/>
      <w:marBottom w:val="0"/>
      <w:divBdr>
        <w:top w:val="none" w:sz="0" w:space="0" w:color="auto"/>
        <w:left w:val="none" w:sz="0" w:space="0" w:color="auto"/>
        <w:bottom w:val="none" w:sz="0" w:space="0" w:color="auto"/>
        <w:right w:val="none" w:sz="0" w:space="0" w:color="auto"/>
      </w:divBdr>
    </w:div>
    <w:div w:id="406270805">
      <w:marLeft w:val="0"/>
      <w:marRight w:val="0"/>
      <w:marTop w:val="0"/>
      <w:marBottom w:val="0"/>
      <w:divBdr>
        <w:top w:val="none" w:sz="0" w:space="0" w:color="auto"/>
        <w:left w:val="none" w:sz="0" w:space="0" w:color="auto"/>
        <w:bottom w:val="none" w:sz="0" w:space="0" w:color="auto"/>
        <w:right w:val="none" w:sz="0" w:space="0" w:color="auto"/>
      </w:divBdr>
    </w:div>
    <w:div w:id="406270806">
      <w:marLeft w:val="0"/>
      <w:marRight w:val="0"/>
      <w:marTop w:val="0"/>
      <w:marBottom w:val="0"/>
      <w:divBdr>
        <w:top w:val="none" w:sz="0" w:space="0" w:color="auto"/>
        <w:left w:val="none" w:sz="0" w:space="0" w:color="auto"/>
        <w:bottom w:val="none" w:sz="0" w:space="0" w:color="auto"/>
        <w:right w:val="none" w:sz="0" w:space="0" w:color="auto"/>
      </w:divBdr>
    </w:div>
    <w:div w:id="406270807">
      <w:marLeft w:val="0"/>
      <w:marRight w:val="0"/>
      <w:marTop w:val="0"/>
      <w:marBottom w:val="0"/>
      <w:divBdr>
        <w:top w:val="none" w:sz="0" w:space="0" w:color="auto"/>
        <w:left w:val="none" w:sz="0" w:space="0" w:color="auto"/>
        <w:bottom w:val="none" w:sz="0" w:space="0" w:color="auto"/>
        <w:right w:val="none" w:sz="0" w:space="0" w:color="auto"/>
      </w:divBdr>
    </w:div>
    <w:div w:id="406270808">
      <w:marLeft w:val="0"/>
      <w:marRight w:val="0"/>
      <w:marTop w:val="0"/>
      <w:marBottom w:val="0"/>
      <w:divBdr>
        <w:top w:val="none" w:sz="0" w:space="0" w:color="auto"/>
        <w:left w:val="none" w:sz="0" w:space="0" w:color="auto"/>
        <w:bottom w:val="none" w:sz="0" w:space="0" w:color="auto"/>
        <w:right w:val="none" w:sz="0" w:space="0" w:color="auto"/>
      </w:divBdr>
    </w:div>
    <w:div w:id="406270809">
      <w:marLeft w:val="0"/>
      <w:marRight w:val="0"/>
      <w:marTop w:val="0"/>
      <w:marBottom w:val="0"/>
      <w:divBdr>
        <w:top w:val="none" w:sz="0" w:space="0" w:color="auto"/>
        <w:left w:val="none" w:sz="0" w:space="0" w:color="auto"/>
        <w:bottom w:val="none" w:sz="0" w:space="0" w:color="auto"/>
        <w:right w:val="none" w:sz="0" w:space="0" w:color="auto"/>
      </w:divBdr>
    </w:div>
    <w:div w:id="406270810">
      <w:marLeft w:val="0"/>
      <w:marRight w:val="0"/>
      <w:marTop w:val="0"/>
      <w:marBottom w:val="0"/>
      <w:divBdr>
        <w:top w:val="none" w:sz="0" w:space="0" w:color="auto"/>
        <w:left w:val="none" w:sz="0" w:space="0" w:color="auto"/>
        <w:bottom w:val="none" w:sz="0" w:space="0" w:color="auto"/>
        <w:right w:val="none" w:sz="0" w:space="0" w:color="auto"/>
      </w:divBdr>
    </w:div>
    <w:div w:id="406270811">
      <w:marLeft w:val="0"/>
      <w:marRight w:val="0"/>
      <w:marTop w:val="0"/>
      <w:marBottom w:val="0"/>
      <w:divBdr>
        <w:top w:val="none" w:sz="0" w:space="0" w:color="auto"/>
        <w:left w:val="none" w:sz="0" w:space="0" w:color="auto"/>
        <w:bottom w:val="none" w:sz="0" w:space="0" w:color="auto"/>
        <w:right w:val="none" w:sz="0" w:space="0" w:color="auto"/>
      </w:divBdr>
    </w:div>
    <w:div w:id="406270812">
      <w:marLeft w:val="0"/>
      <w:marRight w:val="0"/>
      <w:marTop w:val="0"/>
      <w:marBottom w:val="0"/>
      <w:divBdr>
        <w:top w:val="none" w:sz="0" w:space="0" w:color="auto"/>
        <w:left w:val="none" w:sz="0" w:space="0" w:color="auto"/>
        <w:bottom w:val="none" w:sz="0" w:space="0" w:color="auto"/>
        <w:right w:val="none" w:sz="0" w:space="0" w:color="auto"/>
      </w:divBdr>
    </w:div>
    <w:div w:id="406270813">
      <w:marLeft w:val="0"/>
      <w:marRight w:val="0"/>
      <w:marTop w:val="0"/>
      <w:marBottom w:val="0"/>
      <w:divBdr>
        <w:top w:val="none" w:sz="0" w:space="0" w:color="auto"/>
        <w:left w:val="none" w:sz="0" w:space="0" w:color="auto"/>
        <w:bottom w:val="none" w:sz="0" w:space="0" w:color="auto"/>
        <w:right w:val="none" w:sz="0" w:space="0" w:color="auto"/>
      </w:divBdr>
    </w:div>
    <w:div w:id="406270814">
      <w:marLeft w:val="0"/>
      <w:marRight w:val="0"/>
      <w:marTop w:val="0"/>
      <w:marBottom w:val="0"/>
      <w:divBdr>
        <w:top w:val="none" w:sz="0" w:space="0" w:color="auto"/>
        <w:left w:val="none" w:sz="0" w:space="0" w:color="auto"/>
        <w:bottom w:val="none" w:sz="0" w:space="0" w:color="auto"/>
        <w:right w:val="none" w:sz="0" w:space="0" w:color="auto"/>
      </w:divBdr>
    </w:div>
    <w:div w:id="406270815">
      <w:marLeft w:val="0"/>
      <w:marRight w:val="0"/>
      <w:marTop w:val="0"/>
      <w:marBottom w:val="0"/>
      <w:divBdr>
        <w:top w:val="none" w:sz="0" w:space="0" w:color="auto"/>
        <w:left w:val="none" w:sz="0" w:space="0" w:color="auto"/>
        <w:bottom w:val="none" w:sz="0" w:space="0" w:color="auto"/>
        <w:right w:val="none" w:sz="0" w:space="0" w:color="auto"/>
      </w:divBdr>
    </w:div>
    <w:div w:id="406270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yperlink" Target="http://www.bmj.com/cgi/content/extract/bmj;329/7475/116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sude.org.pe/es/Pagina_principal/ressources/resource_es_24680.pdf"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jornada.unam.mx/2008/05/09/index.php?section=sociedad&amp;article=050n1s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Hoja_de_c_lculo_de_Microsoft_Excel_97-20031.xls"/><Relationship Id="rId23" Type="http://schemas.openxmlformats.org/officeDocument/2006/relationships/hyperlink" Target="http://www.who.int/whr/2005/en/" TargetMode="External"/><Relationship Id="rId10" Type="http://schemas.openxmlformats.org/officeDocument/2006/relationships/image" Target="media/image3.png"/><Relationship Id="rId19" Type="http://schemas.openxmlformats.org/officeDocument/2006/relationships/hyperlink" Target="http://www.minsa.gob.pe/servicios/serums/2009/default.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www.un.org/millenniumgoals/2008highlevel/pdf/newsroom/mdg%20reports/MDG_Report_2008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21068</Words>
  <Characters>115879</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Program Budgeting Analysis: Health Sector</vt:lpstr>
    </vt:vector>
  </TitlesOfParts>
  <Company>Centro de Investigación de la Universidad del Pacífico</Company>
  <LinksUpToDate>false</LinksUpToDate>
  <CharactersWithSpaces>136674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Budgeting Analysis: Health Sector</dc:title>
  <dc:subject>Peru</dc:subject>
  <dc:creator>Ph.D. Janice Seinfeld</dc:creator>
  <cp:lastModifiedBy>Omar Taupier</cp:lastModifiedBy>
  <cp:revision>2</cp:revision>
  <cp:lastPrinted>2009-04-25T14:19:00Z</cp:lastPrinted>
  <dcterms:created xsi:type="dcterms:W3CDTF">2010-11-03T05:03:00Z</dcterms:created>
  <dcterms:modified xsi:type="dcterms:W3CDTF">2010-11-03T05:03:00Z</dcterms:modified>
</cp:coreProperties>
</file>